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DCE2" w14:textId="090E1B29" w:rsidR="00BC7A1F" w:rsidRDefault="004002D5" w:rsidP="00BC7A1F">
      <w:pPr>
        <w:pStyle w:val="Titel"/>
        <w:rPr>
          <w:lang w:val="en-US"/>
        </w:rPr>
      </w:pPr>
      <w:r>
        <w:rPr>
          <w:lang w:val="en-US"/>
        </w:rPr>
        <w:t xml:space="preserve">Extensive </w:t>
      </w:r>
      <w:r w:rsidR="00BC7A1F">
        <w:rPr>
          <w:lang w:val="en-US"/>
        </w:rPr>
        <w:t>Checklist for IVDR Technical Documentations</w:t>
      </w:r>
    </w:p>
    <w:p w14:paraId="3D30F0BD" w14:textId="2A79F1D2" w:rsidR="00BF3CA7" w:rsidRPr="00BF3CA7" w:rsidRDefault="00BF3CA7">
      <w:pPr>
        <w:rPr>
          <w:lang w:val="en-US"/>
        </w:rPr>
      </w:pPr>
      <w:r w:rsidRPr="00BF3CA7">
        <w:rPr>
          <w:lang w:val="en-US"/>
        </w:rPr>
        <w:t>This list is based o</w:t>
      </w:r>
      <w:r>
        <w:rPr>
          <w:lang w:val="en-US"/>
        </w:rPr>
        <w:t xml:space="preserve">n Regulation (EU) 2017/746 (IVDR) Annex II and Annex III. It </w:t>
      </w:r>
      <w:r w:rsidR="00BC7A1F">
        <w:rPr>
          <w:lang w:val="en-US"/>
        </w:rPr>
        <w:t xml:space="preserve">helps to identify if all requirements are fulfilled and if you have all relevant documents included in your Technical Documentation. </w:t>
      </w:r>
    </w:p>
    <w:tbl>
      <w:tblPr>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4955"/>
        <w:gridCol w:w="1014"/>
        <w:gridCol w:w="971"/>
        <w:gridCol w:w="1984"/>
        <w:gridCol w:w="4394"/>
      </w:tblGrid>
      <w:tr w:rsidR="00A0478D" w:rsidRPr="004C3A94" w14:paraId="170C4632" w14:textId="77777777" w:rsidTr="00161865">
        <w:trPr>
          <w:trHeight w:val="649"/>
          <w:tblHeader/>
        </w:trPr>
        <w:tc>
          <w:tcPr>
            <w:tcW w:w="715" w:type="dxa"/>
            <w:shd w:val="clear" w:color="auto" w:fill="00AADC"/>
            <w:noWrap/>
            <w:vAlign w:val="center"/>
            <w:hideMark/>
          </w:tcPr>
          <w:p w14:paraId="3A8AB456" w14:textId="7DAE5626" w:rsidR="00A0478D" w:rsidRPr="00A0478D" w:rsidRDefault="00A0478D" w:rsidP="00161865">
            <w:pPr>
              <w:adjustRightInd/>
              <w:spacing w:after="0" w:line="240" w:lineRule="auto"/>
              <w:ind w:right="0"/>
              <w:rPr>
                <w:rFonts w:eastAsia="Times New Roman" w:cs="Calibri"/>
                <w:b/>
                <w:bCs/>
                <w:color w:val="FFFFFF" w:themeColor="background1"/>
                <w:lang w:val="en-GB" w:eastAsia="de-DE"/>
              </w:rPr>
            </w:pPr>
            <w:r w:rsidRPr="00A0478D">
              <w:rPr>
                <w:rFonts w:eastAsia="Times New Roman" w:cs="Calibri"/>
                <w:b/>
                <w:bCs/>
                <w:color w:val="FFFFFF" w:themeColor="background1"/>
                <w:lang w:val="en-GB" w:eastAsia="de-DE"/>
              </w:rPr>
              <w:t>Pos.</w:t>
            </w:r>
          </w:p>
        </w:tc>
        <w:tc>
          <w:tcPr>
            <w:tcW w:w="4955" w:type="dxa"/>
            <w:shd w:val="clear" w:color="auto" w:fill="00AADC"/>
            <w:noWrap/>
            <w:vAlign w:val="center"/>
            <w:hideMark/>
          </w:tcPr>
          <w:p w14:paraId="76351B4F" w14:textId="6C7A9BC8" w:rsidR="00A0478D" w:rsidRPr="00A0478D" w:rsidRDefault="00A0478D" w:rsidP="00161865">
            <w:pPr>
              <w:adjustRightInd/>
              <w:spacing w:after="0" w:line="240" w:lineRule="auto"/>
              <w:ind w:right="0"/>
              <w:rPr>
                <w:rFonts w:eastAsia="Times New Roman" w:cs="Calibri"/>
                <w:b/>
                <w:bCs/>
                <w:color w:val="FFFFFF" w:themeColor="background1"/>
                <w:lang w:val="en-GB" w:eastAsia="de-DE"/>
              </w:rPr>
            </w:pPr>
            <w:r w:rsidRPr="00A0478D">
              <w:rPr>
                <w:rFonts w:eastAsia="Times New Roman" w:cs="Calibri"/>
                <w:b/>
                <w:bCs/>
                <w:color w:val="FFFFFF" w:themeColor="background1"/>
                <w:lang w:val="en-GB" w:eastAsia="de-DE"/>
              </w:rPr>
              <w:t>Requirement</w:t>
            </w:r>
          </w:p>
        </w:tc>
        <w:tc>
          <w:tcPr>
            <w:tcW w:w="1014" w:type="dxa"/>
            <w:shd w:val="clear" w:color="auto" w:fill="00AADC"/>
            <w:noWrap/>
            <w:vAlign w:val="center"/>
            <w:hideMark/>
          </w:tcPr>
          <w:p w14:paraId="6E659E42" w14:textId="22D0DD3C" w:rsidR="00A0478D" w:rsidRPr="00A0478D" w:rsidRDefault="00A0478D" w:rsidP="00161865">
            <w:pPr>
              <w:adjustRightInd/>
              <w:spacing w:after="0" w:line="240" w:lineRule="auto"/>
              <w:ind w:right="0"/>
              <w:jc w:val="center"/>
              <w:rPr>
                <w:rFonts w:eastAsia="Times New Roman" w:cs="Calibri"/>
                <w:b/>
                <w:bCs/>
                <w:color w:val="FFFFFF" w:themeColor="background1"/>
                <w:lang w:val="en-GB" w:eastAsia="de-DE"/>
              </w:rPr>
            </w:pPr>
            <w:r>
              <w:rPr>
                <w:rFonts w:eastAsia="Times New Roman" w:cs="Calibri"/>
                <w:b/>
                <w:bCs/>
                <w:color w:val="FFFFFF" w:themeColor="background1"/>
                <w:lang w:val="en-GB" w:eastAsia="de-DE"/>
              </w:rPr>
              <w:t>Applicable</w:t>
            </w:r>
          </w:p>
        </w:tc>
        <w:tc>
          <w:tcPr>
            <w:tcW w:w="971" w:type="dxa"/>
            <w:shd w:val="clear" w:color="auto" w:fill="00AADC"/>
            <w:noWrap/>
            <w:vAlign w:val="center"/>
            <w:hideMark/>
          </w:tcPr>
          <w:p w14:paraId="4B752DDB" w14:textId="396EBD43" w:rsidR="00A0478D" w:rsidRPr="00A0478D" w:rsidRDefault="00A0478D" w:rsidP="00161865">
            <w:pPr>
              <w:adjustRightInd/>
              <w:spacing w:after="0" w:line="240" w:lineRule="auto"/>
              <w:ind w:right="0"/>
              <w:jc w:val="center"/>
              <w:rPr>
                <w:rFonts w:eastAsia="Times New Roman" w:cs="Calibri"/>
                <w:b/>
                <w:bCs/>
                <w:color w:val="FFFFFF" w:themeColor="background1"/>
                <w:lang w:val="en-GB" w:eastAsia="de-DE"/>
              </w:rPr>
            </w:pPr>
            <w:r w:rsidRPr="00A0478D">
              <w:rPr>
                <w:rFonts w:eastAsia="Times New Roman" w:cs="Calibri"/>
                <w:b/>
                <w:bCs/>
                <w:color w:val="FFFFFF" w:themeColor="background1"/>
                <w:lang w:val="en-GB" w:eastAsia="de-DE"/>
              </w:rPr>
              <w:t>Fulfilled</w:t>
            </w:r>
          </w:p>
        </w:tc>
        <w:tc>
          <w:tcPr>
            <w:tcW w:w="1984" w:type="dxa"/>
            <w:shd w:val="clear" w:color="auto" w:fill="00AADC"/>
            <w:vAlign w:val="center"/>
          </w:tcPr>
          <w:p w14:paraId="7E496F6D" w14:textId="421B299E" w:rsidR="00A0478D" w:rsidRPr="00A0478D" w:rsidRDefault="00A0478D" w:rsidP="00161865">
            <w:pPr>
              <w:adjustRightInd/>
              <w:spacing w:after="0" w:line="240" w:lineRule="auto"/>
              <w:ind w:right="0"/>
              <w:rPr>
                <w:rFonts w:eastAsia="Times New Roman" w:cs="Calibri"/>
                <w:b/>
                <w:bCs/>
                <w:color w:val="FFFFFF" w:themeColor="background1"/>
                <w:lang w:val="en-GB" w:eastAsia="de-DE"/>
              </w:rPr>
            </w:pPr>
            <w:r>
              <w:rPr>
                <w:rFonts w:eastAsia="Times New Roman" w:cs="Calibri"/>
                <w:b/>
                <w:bCs/>
                <w:color w:val="FFFFFF" w:themeColor="background1"/>
                <w:lang w:val="en-GB" w:eastAsia="de-DE"/>
              </w:rPr>
              <w:t>Source</w:t>
            </w:r>
          </w:p>
        </w:tc>
        <w:tc>
          <w:tcPr>
            <w:tcW w:w="4394" w:type="dxa"/>
            <w:shd w:val="clear" w:color="auto" w:fill="00AADC"/>
            <w:noWrap/>
            <w:vAlign w:val="center"/>
            <w:hideMark/>
          </w:tcPr>
          <w:p w14:paraId="696D0957" w14:textId="5A9E199D" w:rsidR="00A0478D" w:rsidRPr="00A0478D" w:rsidRDefault="00A0478D" w:rsidP="00161865">
            <w:pPr>
              <w:adjustRightInd/>
              <w:spacing w:after="0" w:line="240" w:lineRule="auto"/>
              <w:ind w:right="0"/>
              <w:rPr>
                <w:rFonts w:eastAsia="Times New Roman" w:cs="Calibri"/>
                <w:b/>
                <w:bCs/>
                <w:color w:val="FFFFFF" w:themeColor="background1"/>
                <w:lang w:val="en-GB" w:eastAsia="de-DE"/>
              </w:rPr>
            </w:pPr>
            <w:r w:rsidRPr="00A0478D">
              <w:rPr>
                <w:rFonts w:eastAsia="Times New Roman" w:cs="Calibri"/>
                <w:b/>
                <w:bCs/>
                <w:color w:val="FFFFFF" w:themeColor="background1"/>
                <w:lang w:val="en-GB" w:eastAsia="de-DE"/>
              </w:rPr>
              <w:t>Comment or Justification</w:t>
            </w:r>
          </w:p>
        </w:tc>
      </w:tr>
      <w:tr w:rsidR="00F0690B" w:rsidRPr="004B5366" w14:paraId="074798B4" w14:textId="77777777" w:rsidTr="00161865">
        <w:trPr>
          <w:trHeight w:val="563"/>
        </w:trPr>
        <w:tc>
          <w:tcPr>
            <w:tcW w:w="715" w:type="dxa"/>
            <w:shd w:val="clear" w:color="auto" w:fill="CCECFF"/>
            <w:noWrap/>
            <w:vAlign w:val="center"/>
            <w:hideMark/>
          </w:tcPr>
          <w:p w14:paraId="4CED9BBE" w14:textId="77777777" w:rsidR="00F0690B" w:rsidRPr="00A0478D" w:rsidRDefault="00F0690B"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w:t>
            </w:r>
          </w:p>
        </w:tc>
        <w:tc>
          <w:tcPr>
            <w:tcW w:w="13318" w:type="dxa"/>
            <w:gridSpan w:val="5"/>
            <w:shd w:val="clear" w:color="auto" w:fill="CCECFF"/>
            <w:vAlign w:val="center"/>
          </w:tcPr>
          <w:p w14:paraId="789BA572" w14:textId="7C308B1A" w:rsidR="00F0690B" w:rsidRPr="00D26F39" w:rsidRDefault="00F0690B" w:rsidP="00161865">
            <w:pPr>
              <w:adjustRightInd/>
              <w:spacing w:after="0" w:line="240" w:lineRule="auto"/>
              <w:ind w:right="0"/>
              <w:rPr>
                <w:rStyle w:val="Fett"/>
                <w:lang w:val="en-US"/>
              </w:rPr>
            </w:pPr>
            <w:r w:rsidRPr="00D26F39">
              <w:rPr>
                <w:rStyle w:val="Fett"/>
                <w:lang w:val="en-GB" w:eastAsia="de-DE"/>
              </w:rPr>
              <w:t>Device description and specification, including variants and accessories</w:t>
            </w:r>
          </w:p>
          <w:p w14:paraId="5762E066" w14:textId="67E60DFD" w:rsidR="00F0690B" w:rsidRPr="00D26F39" w:rsidRDefault="00F0690B" w:rsidP="00161865">
            <w:pPr>
              <w:adjustRightInd/>
              <w:spacing w:after="0" w:line="240" w:lineRule="auto"/>
              <w:ind w:right="0"/>
              <w:rPr>
                <w:rFonts w:eastAsia="Times New Roman" w:cs="Calibri"/>
                <w:color w:val="000000"/>
                <w:lang w:val="en-GB" w:eastAsia="de-DE"/>
              </w:rPr>
            </w:pPr>
            <w:r w:rsidRPr="00D26F39">
              <w:rPr>
                <w:rFonts w:eastAsia="Times New Roman" w:cs="Calibri"/>
                <w:color w:val="000000"/>
                <w:lang w:val="en-GB" w:eastAsia="de-DE"/>
              </w:rPr>
              <w:t>Regulation (EU) 2017/746 (IVDR), Annex II Section 1</w:t>
            </w:r>
          </w:p>
        </w:tc>
      </w:tr>
      <w:tr w:rsidR="00A0478D" w:rsidRPr="00AF7A73" w14:paraId="61B84D8E" w14:textId="77777777" w:rsidTr="00161865">
        <w:trPr>
          <w:trHeight w:val="567"/>
        </w:trPr>
        <w:tc>
          <w:tcPr>
            <w:tcW w:w="715" w:type="dxa"/>
            <w:shd w:val="clear" w:color="auto" w:fill="EFF9FF"/>
            <w:noWrap/>
            <w:vAlign w:val="center"/>
          </w:tcPr>
          <w:p w14:paraId="60B9D73A" w14:textId="061ABEC5" w:rsidR="00A0478D" w:rsidRPr="00A0478D" w:rsidRDefault="009E533D"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1.1</w:t>
            </w:r>
          </w:p>
        </w:tc>
        <w:tc>
          <w:tcPr>
            <w:tcW w:w="4955" w:type="dxa"/>
            <w:shd w:val="clear" w:color="auto" w:fill="EFF9FF"/>
            <w:noWrap/>
            <w:vAlign w:val="center"/>
          </w:tcPr>
          <w:p w14:paraId="5482C1DB" w14:textId="0C74ADE0" w:rsidR="00A0478D" w:rsidRPr="00D26F39" w:rsidRDefault="009E533D"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Device description and specification</w:t>
            </w:r>
          </w:p>
        </w:tc>
        <w:tc>
          <w:tcPr>
            <w:tcW w:w="1014" w:type="dxa"/>
            <w:shd w:val="clear" w:color="auto" w:fill="EFF9FF"/>
            <w:noWrap/>
            <w:vAlign w:val="center"/>
            <w:hideMark/>
          </w:tcPr>
          <w:p w14:paraId="3753DD14" w14:textId="6D557102" w:rsidR="00A0478D" w:rsidRPr="004C3A94" w:rsidRDefault="00A0478D"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hideMark/>
          </w:tcPr>
          <w:p w14:paraId="27551F09" w14:textId="01DD50A4" w:rsidR="00A0478D" w:rsidRPr="004C3A94" w:rsidRDefault="00A0478D"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3AB250D7" w14:textId="77777777" w:rsidR="00A0478D" w:rsidRPr="004C3A94" w:rsidRDefault="00A0478D"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hideMark/>
          </w:tcPr>
          <w:p w14:paraId="07945CC9" w14:textId="3DB0978A" w:rsidR="00A0478D" w:rsidRPr="004C3A94" w:rsidRDefault="00A0478D" w:rsidP="00161865">
            <w:pPr>
              <w:adjustRightInd/>
              <w:spacing w:after="0" w:line="240" w:lineRule="auto"/>
              <w:ind w:right="0"/>
              <w:rPr>
                <w:rFonts w:eastAsia="Times New Roman" w:cs="Calibri"/>
                <w:color w:val="000000"/>
                <w:lang w:val="en-GB" w:eastAsia="de-DE"/>
              </w:rPr>
            </w:pPr>
            <w:r w:rsidRPr="004C3A94">
              <w:rPr>
                <w:rFonts w:eastAsia="Times New Roman" w:cs="Calibri"/>
                <w:color w:val="000000"/>
                <w:lang w:val="en-GB" w:eastAsia="de-DE"/>
              </w:rPr>
              <w:t xml:space="preserve">  </w:t>
            </w:r>
          </w:p>
        </w:tc>
      </w:tr>
      <w:tr w:rsidR="009E533D" w:rsidRPr="004B5366" w14:paraId="1BF87E6E" w14:textId="77777777" w:rsidTr="00161865">
        <w:trPr>
          <w:trHeight w:val="567"/>
        </w:trPr>
        <w:tc>
          <w:tcPr>
            <w:tcW w:w="715" w:type="dxa"/>
            <w:shd w:val="clear" w:color="000000" w:fill="FFFFFF"/>
            <w:noWrap/>
            <w:vAlign w:val="center"/>
          </w:tcPr>
          <w:p w14:paraId="582D8BC5" w14:textId="5216FBF5" w:rsidR="009E533D" w:rsidRDefault="009E533D"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1.1.1</w:t>
            </w:r>
          </w:p>
        </w:tc>
        <w:tc>
          <w:tcPr>
            <w:tcW w:w="4955" w:type="dxa"/>
            <w:shd w:val="clear" w:color="000000" w:fill="FFFFFF"/>
            <w:noWrap/>
            <w:vAlign w:val="center"/>
          </w:tcPr>
          <w:p w14:paraId="6657D7E2" w14:textId="37A1BECD" w:rsidR="009E533D" w:rsidRDefault="00995098"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Product or trade name and manufacturer</w:t>
            </w:r>
          </w:p>
        </w:tc>
        <w:tc>
          <w:tcPr>
            <w:tcW w:w="1014" w:type="dxa"/>
            <w:shd w:val="clear" w:color="000000" w:fill="FFFFFF"/>
            <w:noWrap/>
            <w:vAlign w:val="center"/>
          </w:tcPr>
          <w:p w14:paraId="5301F8B4"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DAEF80C"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C6E91FF"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08E38881" w14:textId="77777777" w:rsidR="009E533D" w:rsidRPr="004C3A94" w:rsidRDefault="009E533D" w:rsidP="00161865">
            <w:pPr>
              <w:adjustRightInd/>
              <w:spacing w:after="0" w:line="240" w:lineRule="auto"/>
              <w:ind w:right="0"/>
              <w:rPr>
                <w:rFonts w:eastAsia="Times New Roman" w:cs="Calibri"/>
                <w:color w:val="000000"/>
                <w:lang w:val="en-GB" w:eastAsia="de-DE"/>
              </w:rPr>
            </w:pPr>
          </w:p>
        </w:tc>
      </w:tr>
      <w:tr w:rsidR="00A0478D" w:rsidRPr="004B5366" w14:paraId="02D86FC3" w14:textId="77777777" w:rsidTr="00161865">
        <w:trPr>
          <w:trHeight w:val="567"/>
        </w:trPr>
        <w:tc>
          <w:tcPr>
            <w:tcW w:w="715" w:type="dxa"/>
            <w:shd w:val="clear" w:color="000000" w:fill="FFFFFF"/>
            <w:noWrap/>
            <w:vAlign w:val="center"/>
          </w:tcPr>
          <w:p w14:paraId="257BBDD3" w14:textId="77777777" w:rsidR="00A0478D" w:rsidRPr="009E533D" w:rsidRDefault="00A0478D" w:rsidP="00161865">
            <w:pPr>
              <w:adjustRightInd/>
              <w:spacing w:after="0" w:line="240" w:lineRule="auto"/>
              <w:ind w:right="0"/>
              <w:rPr>
                <w:rFonts w:eastAsia="Times New Roman" w:cs="Calibri"/>
                <w:color w:val="000000"/>
                <w:lang w:val="en-GB" w:eastAsia="de-DE"/>
              </w:rPr>
            </w:pPr>
          </w:p>
        </w:tc>
        <w:tc>
          <w:tcPr>
            <w:tcW w:w="4955" w:type="dxa"/>
            <w:shd w:val="clear" w:color="000000" w:fill="FFFFFF"/>
            <w:noWrap/>
            <w:vAlign w:val="center"/>
          </w:tcPr>
          <w:p w14:paraId="43F6C30B" w14:textId="77777777" w:rsidR="00995098" w:rsidRDefault="00995098" w:rsidP="00161865">
            <w:pPr>
              <w:pStyle w:val="Listenabsatz"/>
              <w:numPr>
                <w:ilvl w:val="0"/>
                <w:numId w:val="13"/>
              </w:numPr>
              <w:adjustRightInd/>
              <w:spacing w:after="0" w:line="240" w:lineRule="auto"/>
              <w:ind w:right="0"/>
              <w:rPr>
                <w:rFonts w:eastAsia="Times New Roman"/>
                <w:color w:val="000000"/>
                <w:lang w:val="en-GB" w:eastAsia="de-DE"/>
              </w:rPr>
            </w:pPr>
            <w:r w:rsidRPr="00995098">
              <w:rPr>
                <w:rFonts w:eastAsia="Times New Roman"/>
                <w:color w:val="000000"/>
                <w:lang w:val="en-GB" w:eastAsia="de-DE"/>
              </w:rPr>
              <w:t>The product name shall be consistent with the product displayed on the product’s packaging and marketing brochures as well as the application.</w:t>
            </w:r>
          </w:p>
          <w:p w14:paraId="074FE2FB" w14:textId="77777777" w:rsidR="00995098" w:rsidRDefault="009E533D" w:rsidP="00161865">
            <w:pPr>
              <w:pStyle w:val="Listenabsatz"/>
              <w:numPr>
                <w:ilvl w:val="0"/>
                <w:numId w:val="13"/>
              </w:numPr>
              <w:adjustRightInd/>
              <w:spacing w:after="0" w:line="240" w:lineRule="auto"/>
              <w:ind w:right="0"/>
              <w:rPr>
                <w:rFonts w:eastAsia="Times New Roman"/>
                <w:color w:val="000000"/>
                <w:lang w:val="en-GB" w:eastAsia="de-DE"/>
              </w:rPr>
            </w:pPr>
            <w:r w:rsidRPr="00995098">
              <w:rPr>
                <w:rFonts w:eastAsia="Times New Roman"/>
                <w:color w:val="000000"/>
                <w:lang w:val="en-GB" w:eastAsia="de-DE"/>
              </w:rPr>
              <w:t xml:space="preserve">Name and address of the manufacturer, SRN </w:t>
            </w:r>
          </w:p>
          <w:p w14:paraId="172E0ACA" w14:textId="1C29B6A0" w:rsidR="00A0478D" w:rsidRPr="009E533D" w:rsidRDefault="009E533D" w:rsidP="00161865">
            <w:pPr>
              <w:pStyle w:val="Listenabsatz"/>
              <w:numPr>
                <w:ilvl w:val="0"/>
                <w:numId w:val="13"/>
              </w:numPr>
              <w:adjustRightInd/>
              <w:spacing w:after="0" w:line="240" w:lineRule="auto"/>
              <w:ind w:right="0"/>
              <w:rPr>
                <w:rFonts w:eastAsia="Times New Roman"/>
                <w:color w:val="000000"/>
                <w:lang w:val="en-GB" w:eastAsia="de-DE"/>
              </w:rPr>
            </w:pPr>
            <w:r w:rsidRPr="009E533D">
              <w:rPr>
                <w:rFonts w:eastAsia="Times New Roman"/>
                <w:color w:val="000000"/>
                <w:lang w:val="en-GB" w:eastAsia="de-DE"/>
              </w:rPr>
              <w:t>If applicable, name and address of the EU authorised representative</w:t>
            </w:r>
            <w:r>
              <w:rPr>
                <w:rFonts w:eastAsia="Times New Roman"/>
                <w:color w:val="000000"/>
                <w:lang w:val="en-GB" w:eastAsia="de-DE"/>
              </w:rPr>
              <w:t>, SRN</w:t>
            </w:r>
          </w:p>
        </w:tc>
        <w:tc>
          <w:tcPr>
            <w:tcW w:w="1014" w:type="dxa"/>
            <w:shd w:val="clear" w:color="000000" w:fill="FFFFFF"/>
            <w:noWrap/>
            <w:vAlign w:val="center"/>
          </w:tcPr>
          <w:p w14:paraId="5C60B7A1" w14:textId="77777777" w:rsidR="00A0478D" w:rsidRPr="004C3A94" w:rsidRDefault="00A0478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57189F0" w14:textId="77777777" w:rsidR="00A0478D" w:rsidRPr="004C3A94" w:rsidRDefault="00A0478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73DE60B" w14:textId="77777777" w:rsidR="00A0478D" w:rsidRPr="004C3A94" w:rsidRDefault="00A0478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FC5659F" w14:textId="65D42936" w:rsidR="00A0478D" w:rsidRPr="004C3A94" w:rsidRDefault="00A0478D" w:rsidP="00161865">
            <w:pPr>
              <w:adjustRightInd/>
              <w:spacing w:after="0" w:line="240" w:lineRule="auto"/>
              <w:ind w:right="0"/>
              <w:rPr>
                <w:rFonts w:eastAsia="Times New Roman" w:cs="Calibri"/>
                <w:color w:val="000000"/>
                <w:lang w:val="en-GB" w:eastAsia="de-DE"/>
              </w:rPr>
            </w:pPr>
          </w:p>
        </w:tc>
      </w:tr>
      <w:tr w:rsidR="009E533D" w:rsidRPr="00AF7A73" w14:paraId="3F76D21A" w14:textId="77777777" w:rsidTr="00161865">
        <w:trPr>
          <w:trHeight w:val="561"/>
        </w:trPr>
        <w:tc>
          <w:tcPr>
            <w:tcW w:w="715" w:type="dxa"/>
            <w:shd w:val="clear" w:color="000000" w:fill="FFFFFF"/>
            <w:noWrap/>
            <w:vAlign w:val="center"/>
            <w:hideMark/>
          </w:tcPr>
          <w:p w14:paraId="768425D0" w14:textId="13B000BD" w:rsidR="009E533D" w:rsidRPr="00A0478D" w:rsidRDefault="009E533D"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w:t>
            </w:r>
            <w:r w:rsidR="00995098">
              <w:rPr>
                <w:rFonts w:eastAsia="Times New Roman" w:cs="Calibri"/>
                <w:b/>
                <w:bCs/>
                <w:color w:val="000000"/>
                <w:lang w:val="en-GB" w:eastAsia="de-DE"/>
              </w:rPr>
              <w:t>1.2</w:t>
            </w:r>
          </w:p>
        </w:tc>
        <w:tc>
          <w:tcPr>
            <w:tcW w:w="4955" w:type="dxa"/>
            <w:shd w:val="clear" w:color="000000" w:fill="FFFFFF"/>
            <w:noWrap/>
            <w:vAlign w:val="center"/>
            <w:hideMark/>
          </w:tcPr>
          <w:p w14:paraId="46AB859D" w14:textId="7A330927" w:rsidR="009E533D" w:rsidRPr="00D26F39" w:rsidRDefault="009E533D" w:rsidP="00161865">
            <w:pPr>
              <w:adjustRightInd/>
              <w:spacing w:after="0" w:line="240" w:lineRule="auto"/>
              <w:ind w:right="0"/>
              <w:rPr>
                <w:rFonts w:eastAsia="Times New Roman" w:cs="Calibri"/>
                <w:b/>
                <w:bCs/>
                <w:color w:val="000000"/>
                <w:lang w:val="en-GB" w:eastAsia="de-DE"/>
              </w:rPr>
            </w:pPr>
            <w:r w:rsidRPr="00AF7A73">
              <w:rPr>
                <w:rFonts w:eastAsia="Times New Roman" w:cs="Calibri"/>
                <w:color w:val="000000"/>
                <w:lang w:val="en-GB" w:eastAsia="de-DE"/>
              </w:rPr>
              <w:t> </w:t>
            </w:r>
            <w:r w:rsidRPr="000537C3">
              <w:rPr>
                <w:rFonts w:eastAsia="Times New Roman" w:cs="Calibri"/>
                <w:b/>
                <w:bCs/>
                <w:color w:val="000000"/>
                <w:lang w:val="en-GB" w:eastAsia="de-DE"/>
              </w:rPr>
              <w:t>Basic unique device identifier</w:t>
            </w:r>
          </w:p>
        </w:tc>
        <w:tc>
          <w:tcPr>
            <w:tcW w:w="1014" w:type="dxa"/>
            <w:shd w:val="clear" w:color="000000" w:fill="FFFFFF"/>
            <w:noWrap/>
            <w:vAlign w:val="center"/>
            <w:hideMark/>
          </w:tcPr>
          <w:p w14:paraId="3D31A4FD" w14:textId="226B613F"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hideMark/>
          </w:tcPr>
          <w:p w14:paraId="3493464B" w14:textId="0C7E742D"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03758FF"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hideMark/>
          </w:tcPr>
          <w:p w14:paraId="10FC708F" w14:textId="3CAEFD47" w:rsidR="009E533D" w:rsidRPr="004C3A94" w:rsidRDefault="009E533D" w:rsidP="00161865">
            <w:pPr>
              <w:adjustRightInd/>
              <w:spacing w:after="0" w:line="240" w:lineRule="auto"/>
              <w:ind w:right="0"/>
              <w:rPr>
                <w:rFonts w:eastAsia="Times New Roman" w:cs="Calibri"/>
                <w:color w:val="000000"/>
                <w:lang w:val="en-GB" w:eastAsia="de-DE"/>
              </w:rPr>
            </w:pPr>
            <w:r w:rsidRPr="004C3A94">
              <w:rPr>
                <w:rFonts w:eastAsia="Times New Roman" w:cs="Calibri"/>
                <w:color w:val="000000"/>
                <w:lang w:val="en-GB" w:eastAsia="de-DE"/>
              </w:rPr>
              <w:t xml:space="preserve">  </w:t>
            </w:r>
          </w:p>
        </w:tc>
      </w:tr>
      <w:tr w:rsidR="009E533D" w:rsidRPr="004B5366" w14:paraId="3DB3BC9C" w14:textId="77777777" w:rsidTr="00161865">
        <w:trPr>
          <w:trHeight w:val="561"/>
        </w:trPr>
        <w:tc>
          <w:tcPr>
            <w:tcW w:w="715" w:type="dxa"/>
            <w:shd w:val="clear" w:color="000000" w:fill="FFFFFF"/>
            <w:noWrap/>
            <w:vAlign w:val="center"/>
          </w:tcPr>
          <w:p w14:paraId="2932A27B" w14:textId="77777777" w:rsidR="009E533D" w:rsidRPr="00A0478D" w:rsidRDefault="009E533D"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169012CA" w14:textId="30AB62EF" w:rsidR="009E533D" w:rsidRPr="00AF7A73" w:rsidRDefault="009E533D" w:rsidP="00161865">
            <w:pPr>
              <w:adjustRightInd/>
              <w:spacing w:after="0" w:line="240" w:lineRule="auto"/>
              <w:ind w:right="0"/>
              <w:rPr>
                <w:rFonts w:eastAsia="Times New Roman" w:cs="Calibri"/>
                <w:color w:val="000000"/>
                <w:lang w:val="en-GB" w:eastAsia="de-DE"/>
              </w:rPr>
            </w:pPr>
            <w:r w:rsidRPr="00AF7A73">
              <w:rPr>
                <w:rFonts w:eastAsia="Times New Roman" w:cs="Calibri"/>
                <w:color w:val="000000"/>
                <w:lang w:val="en-GB" w:eastAsia="de-DE"/>
              </w:rPr>
              <w:t>The Basic UDI device identifier attributed by the manufacturer to the device in question, as soon as identification of this device</w:t>
            </w:r>
            <w:r w:rsidR="00995098">
              <w:rPr>
                <w:rFonts w:eastAsia="Times New Roman" w:cs="Calibri"/>
                <w:color w:val="000000"/>
                <w:lang w:val="en-GB" w:eastAsia="de-DE"/>
              </w:rPr>
              <w:t xml:space="preserve"> becomes </w:t>
            </w:r>
            <w:r w:rsidRPr="00AF7A73">
              <w:rPr>
                <w:rFonts w:eastAsia="Times New Roman" w:cs="Calibri"/>
                <w:color w:val="000000"/>
                <w:lang w:val="en-GB" w:eastAsia="de-DE"/>
              </w:rPr>
              <w:t xml:space="preserve">based on a UDI system, or otherwise clear identification by means of product code, catalogue number or other </w:t>
            </w:r>
            <w:r>
              <w:rPr>
                <w:rFonts w:eastAsia="Times New Roman" w:cs="Calibri"/>
                <w:color w:val="000000"/>
                <w:lang w:val="en-GB" w:eastAsia="de-DE"/>
              </w:rPr>
              <w:t>u</w:t>
            </w:r>
            <w:r w:rsidRPr="00AF7A73">
              <w:rPr>
                <w:rFonts w:eastAsia="Times New Roman" w:cs="Calibri"/>
                <w:color w:val="000000"/>
                <w:lang w:val="en-GB" w:eastAsia="de-DE"/>
              </w:rPr>
              <w:t>nambiguous reference allowing traceability.</w:t>
            </w:r>
          </w:p>
        </w:tc>
        <w:tc>
          <w:tcPr>
            <w:tcW w:w="1014" w:type="dxa"/>
            <w:shd w:val="clear" w:color="000000" w:fill="FFFFFF"/>
            <w:noWrap/>
            <w:vAlign w:val="center"/>
          </w:tcPr>
          <w:p w14:paraId="302D9B83"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0B3B90B"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EE873F8"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9CECDA2" w14:textId="065DFE11" w:rsidR="009E533D" w:rsidRPr="004C3A94" w:rsidRDefault="009E533D" w:rsidP="00161865">
            <w:pPr>
              <w:adjustRightInd/>
              <w:spacing w:after="0" w:line="240" w:lineRule="auto"/>
              <w:ind w:right="0"/>
              <w:rPr>
                <w:rFonts w:eastAsia="Times New Roman" w:cs="Calibri"/>
                <w:color w:val="000000"/>
                <w:lang w:val="en-GB" w:eastAsia="de-DE"/>
              </w:rPr>
            </w:pPr>
          </w:p>
        </w:tc>
      </w:tr>
      <w:tr w:rsidR="009E533D" w:rsidRPr="004B5366" w14:paraId="65BDD020" w14:textId="77777777" w:rsidTr="00161865">
        <w:trPr>
          <w:trHeight w:val="561"/>
        </w:trPr>
        <w:tc>
          <w:tcPr>
            <w:tcW w:w="715" w:type="dxa"/>
            <w:shd w:val="clear" w:color="000000" w:fill="FFFFFF"/>
            <w:noWrap/>
            <w:vAlign w:val="center"/>
          </w:tcPr>
          <w:p w14:paraId="50E67B43" w14:textId="7432C836" w:rsidR="009E533D" w:rsidRPr="00A0478D" w:rsidRDefault="009E533D"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w:t>
            </w:r>
            <w:r w:rsidR="00995098">
              <w:rPr>
                <w:rFonts w:eastAsia="Times New Roman" w:cs="Calibri"/>
                <w:b/>
                <w:bCs/>
                <w:color w:val="000000"/>
                <w:lang w:val="en-GB" w:eastAsia="de-DE"/>
              </w:rPr>
              <w:t>1.3</w:t>
            </w:r>
          </w:p>
        </w:tc>
        <w:tc>
          <w:tcPr>
            <w:tcW w:w="4955" w:type="dxa"/>
            <w:shd w:val="clear" w:color="000000" w:fill="FFFFFF"/>
            <w:noWrap/>
            <w:vAlign w:val="center"/>
          </w:tcPr>
          <w:p w14:paraId="351389D0" w14:textId="0CF783C4" w:rsidR="009E533D" w:rsidRPr="00DF5196" w:rsidRDefault="009E533D" w:rsidP="00161865">
            <w:pPr>
              <w:adjustRightInd/>
              <w:spacing w:after="0" w:line="240" w:lineRule="auto"/>
              <w:ind w:right="0"/>
              <w:rPr>
                <w:rFonts w:eastAsia="Times New Roman" w:cs="Calibri"/>
                <w:b/>
                <w:bCs/>
                <w:color w:val="000000"/>
                <w:lang w:val="en-GB" w:eastAsia="de-DE"/>
              </w:rPr>
            </w:pPr>
            <w:r w:rsidRPr="000537C3">
              <w:rPr>
                <w:rFonts w:eastAsia="Times New Roman" w:cs="Calibri"/>
                <w:b/>
                <w:bCs/>
                <w:color w:val="000000"/>
                <w:lang w:val="en-GB" w:eastAsia="de-DE"/>
              </w:rPr>
              <w:t>Intended purpose and intended user</w:t>
            </w:r>
          </w:p>
        </w:tc>
        <w:tc>
          <w:tcPr>
            <w:tcW w:w="1014" w:type="dxa"/>
            <w:shd w:val="clear" w:color="000000" w:fill="FFFFFF"/>
            <w:noWrap/>
            <w:vAlign w:val="center"/>
          </w:tcPr>
          <w:p w14:paraId="499ACD8C"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2CC5DA8"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6C129CC"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0531E228" w14:textId="67C9B5CA" w:rsidR="009E533D" w:rsidRPr="004C3A94" w:rsidRDefault="00E47628" w:rsidP="00161865">
            <w:pPr>
              <w:adjustRightInd/>
              <w:spacing w:after="0" w:line="240" w:lineRule="auto"/>
              <w:ind w:right="0"/>
              <w:rPr>
                <w:rFonts w:eastAsia="Times New Roman" w:cs="Calibri"/>
                <w:color w:val="000000"/>
                <w:lang w:val="en-GB" w:eastAsia="de-DE"/>
              </w:rPr>
            </w:pPr>
            <w:r>
              <w:rPr>
                <w:rFonts w:eastAsia="Times New Roman" w:cs="Calibri"/>
                <w:color w:val="000000"/>
                <w:lang w:val="en-GB" w:eastAsia="de-DE"/>
              </w:rPr>
              <w:t xml:space="preserve">If you need help with the intended purpose of your device, you may use our intended purpose </w:t>
            </w:r>
            <w:r>
              <w:rPr>
                <w:rFonts w:eastAsia="Times New Roman" w:cs="Calibri"/>
                <w:color w:val="000000"/>
                <w:lang w:val="en-GB" w:eastAsia="de-DE"/>
              </w:rPr>
              <w:lastRenderedPageBreak/>
              <w:t xml:space="preserve">generator AstraPurpose for free: </w:t>
            </w:r>
            <w:r w:rsidRPr="00E47628">
              <w:rPr>
                <w:rFonts w:eastAsia="Times New Roman" w:cs="Calibri"/>
                <w:color w:val="000000"/>
                <w:lang w:val="en-GB" w:eastAsia="de-DE"/>
              </w:rPr>
              <w:t>https://astracon.eu/tools/intended-purpose/</w:t>
            </w:r>
          </w:p>
        </w:tc>
      </w:tr>
      <w:tr w:rsidR="009E533D" w:rsidRPr="004B5366" w14:paraId="5A2E6674" w14:textId="77777777" w:rsidTr="00161865">
        <w:trPr>
          <w:trHeight w:val="561"/>
        </w:trPr>
        <w:tc>
          <w:tcPr>
            <w:tcW w:w="715" w:type="dxa"/>
            <w:shd w:val="clear" w:color="000000" w:fill="FFFFFF"/>
            <w:noWrap/>
            <w:vAlign w:val="center"/>
          </w:tcPr>
          <w:p w14:paraId="76A81445" w14:textId="37D4AE57" w:rsidR="009E533D" w:rsidRPr="00A0478D" w:rsidRDefault="009E533D"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6F3E7943" w14:textId="77777777" w:rsidR="009E533D" w:rsidRPr="000537C3"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0537C3">
              <w:rPr>
                <w:rFonts w:eastAsia="Times New Roman"/>
                <w:color w:val="000000"/>
                <w:szCs w:val="20"/>
                <w:lang w:val="en-GB" w:eastAsia="de-DE"/>
              </w:rPr>
              <w:t>what is to be detected and/or measured;</w:t>
            </w:r>
          </w:p>
          <w:p w14:paraId="4ABEFBF2" w14:textId="73A66E5D" w:rsidR="009E533D" w:rsidRPr="000537C3"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0537C3">
              <w:rPr>
                <w:rFonts w:eastAsia="Times New Roman"/>
                <w:color w:val="000000"/>
                <w:szCs w:val="20"/>
                <w:lang w:val="en-GB" w:eastAsia="de-DE"/>
              </w:rPr>
              <w:t>its function such as screening, monitoring, diagnosis or aid to diagnosis, prognosis, prediction,</w:t>
            </w:r>
            <w:r>
              <w:rPr>
                <w:rFonts w:eastAsia="Times New Roman"/>
                <w:color w:val="000000"/>
                <w:szCs w:val="20"/>
                <w:lang w:val="en-GB" w:eastAsia="de-DE"/>
              </w:rPr>
              <w:t xml:space="preserve"> </w:t>
            </w:r>
            <w:r w:rsidRPr="000537C3">
              <w:rPr>
                <w:rFonts w:eastAsia="Times New Roman"/>
                <w:color w:val="000000"/>
                <w:szCs w:val="20"/>
                <w:lang w:val="en-GB" w:eastAsia="de-DE"/>
              </w:rPr>
              <w:t>companion diagnostic;</w:t>
            </w:r>
          </w:p>
          <w:p w14:paraId="1BD44F74" w14:textId="77777777" w:rsidR="009E533D" w:rsidRPr="000537C3"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0537C3">
              <w:rPr>
                <w:rFonts w:eastAsia="Times New Roman"/>
                <w:color w:val="000000"/>
                <w:szCs w:val="20"/>
                <w:lang w:val="en-GB" w:eastAsia="de-DE"/>
              </w:rPr>
              <w:t>the specific disorder, condition or risk factor of interest that it is intended to detect, define or differentiate;</w:t>
            </w:r>
          </w:p>
          <w:p w14:paraId="3AF8D521" w14:textId="77777777" w:rsidR="009E533D" w:rsidRPr="000537C3"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0537C3">
              <w:rPr>
                <w:rFonts w:eastAsia="Times New Roman"/>
                <w:color w:val="000000"/>
                <w:szCs w:val="20"/>
                <w:lang w:val="en-GB" w:eastAsia="de-DE"/>
              </w:rPr>
              <w:t>whether it is automated or not;</w:t>
            </w:r>
          </w:p>
          <w:p w14:paraId="77153178" w14:textId="77777777" w:rsidR="009E533D" w:rsidRPr="000537C3"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0537C3">
              <w:rPr>
                <w:rFonts w:eastAsia="Times New Roman"/>
                <w:color w:val="000000"/>
                <w:szCs w:val="20"/>
                <w:lang w:val="en-GB" w:eastAsia="de-DE"/>
              </w:rPr>
              <w:t>whether it is qualitative, semi-quantitative or quantitative;</w:t>
            </w:r>
          </w:p>
          <w:p w14:paraId="0317CAAC" w14:textId="77777777" w:rsidR="009E533D" w:rsidRPr="000537C3"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0537C3">
              <w:rPr>
                <w:rFonts w:eastAsia="Times New Roman"/>
                <w:color w:val="000000"/>
                <w:szCs w:val="20"/>
                <w:lang w:val="en-GB" w:eastAsia="de-DE"/>
              </w:rPr>
              <w:t>the type of specimen(s) required</w:t>
            </w:r>
          </w:p>
          <w:p w14:paraId="73C2285A" w14:textId="77777777" w:rsidR="009E533D" w:rsidRPr="000537C3"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0537C3">
              <w:rPr>
                <w:rFonts w:eastAsia="Times New Roman"/>
                <w:color w:val="000000"/>
                <w:szCs w:val="20"/>
                <w:lang w:val="en-GB" w:eastAsia="de-DE"/>
              </w:rPr>
              <w:t>testing population;</w:t>
            </w:r>
          </w:p>
          <w:p w14:paraId="0B1F1A7D" w14:textId="0A9A057E" w:rsidR="009E533D" w:rsidRPr="000537C3"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0537C3">
              <w:rPr>
                <w:rFonts w:eastAsia="Times New Roman"/>
                <w:color w:val="000000"/>
                <w:szCs w:val="20"/>
                <w:lang w:val="en-GB" w:eastAsia="de-DE"/>
              </w:rPr>
              <w:t>Intended user of the device: what is the intended user group of the device, such as self-testing,</w:t>
            </w:r>
            <w:r>
              <w:rPr>
                <w:rFonts w:eastAsia="Times New Roman"/>
                <w:color w:val="000000"/>
                <w:szCs w:val="20"/>
                <w:lang w:val="en-GB" w:eastAsia="de-DE"/>
              </w:rPr>
              <w:t xml:space="preserve"> </w:t>
            </w:r>
            <w:r w:rsidRPr="000537C3">
              <w:rPr>
                <w:rFonts w:eastAsia="Times New Roman"/>
                <w:color w:val="000000"/>
                <w:szCs w:val="20"/>
                <w:lang w:val="en-GB" w:eastAsia="de-DE"/>
              </w:rPr>
              <w:t>near patient and</w:t>
            </w:r>
            <w:r>
              <w:rPr>
                <w:rFonts w:eastAsia="Times New Roman"/>
                <w:color w:val="000000"/>
                <w:szCs w:val="20"/>
                <w:lang w:val="en-GB" w:eastAsia="de-DE"/>
              </w:rPr>
              <w:t xml:space="preserve"> </w:t>
            </w:r>
            <w:r w:rsidRPr="000537C3">
              <w:rPr>
                <w:rFonts w:eastAsia="Times New Roman"/>
                <w:color w:val="000000"/>
                <w:szCs w:val="20"/>
                <w:lang w:val="en-GB" w:eastAsia="de-DE"/>
              </w:rPr>
              <w:t>laboratory professional use, healthcare professionals;</w:t>
            </w:r>
          </w:p>
          <w:p w14:paraId="291E88B0" w14:textId="70C33041" w:rsidR="009E533D" w:rsidRPr="00AF7A73" w:rsidRDefault="009E533D" w:rsidP="00161865">
            <w:pPr>
              <w:pStyle w:val="Listenabsatz"/>
              <w:numPr>
                <w:ilvl w:val="0"/>
                <w:numId w:val="2"/>
              </w:numPr>
              <w:adjustRightInd/>
              <w:spacing w:after="0" w:line="240" w:lineRule="auto"/>
              <w:ind w:right="0"/>
              <w:rPr>
                <w:rFonts w:eastAsia="Times New Roman"/>
                <w:color w:val="000000"/>
                <w:lang w:val="en-GB" w:eastAsia="de-DE"/>
              </w:rPr>
            </w:pPr>
            <w:r w:rsidRPr="000537C3">
              <w:rPr>
                <w:rFonts w:eastAsia="Times New Roman"/>
                <w:color w:val="000000"/>
                <w:szCs w:val="20"/>
                <w:lang w:val="en-GB" w:eastAsia="de-DE"/>
              </w:rPr>
              <w:t xml:space="preserve">for </w:t>
            </w:r>
            <w:proofErr w:type="spellStart"/>
            <w:r w:rsidRPr="000537C3">
              <w:rPr>
                <w:rFonts w:eastAsia="Times New Roman"/>
                <w:color w:val="000000"/>
                <w:szCs w:val="20"/>
                <w:lang w:val="en-GB" w:eastAsia="de-DE"/>
              </w:rPr>
              <w:t>CDx</w:t>
            </w:r>
            <w:proofErr w:type="spellEnd"/>
            <w:r w:rsidRPr="000537C3">
              <w:rPr>
                <w:rFonts w:eastAsia="Times New Roman"/>
                <w:color w:val="000000"/>
                <w:szCs w:val="20"/>
                <w:lang w:val="en-GB" w:eastAsia="de-DE"/>
              </w:rPr>
              <w:t>, the relevant target population with associated medicinal product;</w:t>
            </w:r>
          </w:p>
        </w:tc>
        <w:tc>
          <w:tcPr>
            <w:tcW w:w="1014" w:type="dxa"/>
            <w:shd w:val="clear" w:color="000000" w:fill="FFFFFF"/>
            <w:noWrap/>
            <w:vAlign w:val="center"/>
          </w:tcPr>
          <w:p w14:paraId="14C5B20A"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F4BE38D"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3E0911F5"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1D6581B9" w14:textId="4B6D6002" w:rsidR="009E533D" w:rsidRPr="004C3A94" w:rsidRDefault="009E533D" w:rsidP="00161865">
            <w:pPr>
              <w:adjustRightInd/>
              <w:spacing w:after="0" w:line="240" w:lineRule="auto"/>
              <w:ind w:right="0"/>
              <w:rPr>
                <w:rFonts w:eastAsia="Times New Roman" w:cs="Calibri"/>
                <w:color w:val="000000"/>
                <w:lang w:val="en-GB" w:eastAsia="de-DE"/>
              </w:rPr>
            </w:pPr>
          </w:p>
        </w:tc>
      </w:tr>
      <w:tr w:rsidR="009E533D" w:rsidRPr="00AF7A73" w14:paraId="55C4683C" w14:textId="77777777" w:rsidTr="00161865">
        <w:trPr>
          <w:trHeight w:val="561"/>
        </w:trPr>
        <w:tc>
          <w:tcPr>
            <w:tcW w:w="715" w:type="dxa"/>
            <w:shd w:val="clear" w:color="000000" w:fill="FFFFFF"/>
            <w:noWrap/>
            <w:vAlign w:val="center"/>
          </w:tcPr>
          <w:p w14:paraId="77A2463A" w14:textId="05A6E2F4" w:rsidR="009E533D" w:rsidRPr="00A0478D" w:rsidRDefault="009E533D"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w:t>
            </w:r>
            <w:r w:rsidR="00995098">
              <w:rPr>
                <w:rFonts w:eastAsia="Times New Roman" w:cs="Calibri"/>
                <w:b/>
                <w:bCs/>
                <w:color w:val="000000"/>
                <w:lang w:val="en-GB" w:eastAsia="de-DE"/>
              </w:rPr>
              <w:t>1.4</w:t>
            </w:r>
          </w:p>
        </w:tc>
        <w:tc>
          <w:tcPr>
            <w:tcW w:w="4955" w:type="dxa"/>
            <w:shd w:val="clear" w:color="000000" w:fill="FFFFFF"/>
            <w:noWrap/>
            <w:vAlign w:val="center"/>
          </w:tcPr>
          <w:p w14:paraId="276D1DA0" w14:textId="243E5A9A" w:rsidR="009E533D" w:rsidRPr="00D26F39" w:rsidRDefault="009E533D" w:rsidP="00161865">
            <w:pPr>
              <w:adjustRightInd/>
              <w:spacing w:after="0" w:line="240" w:lineRule="auto"/>
              <w:ind w:right="0"/>
              <w:rPr>
                <w:rFonts w:eastAsia="Times New Roman"/>
                <w:b/>
                <w:bCs/>
                <w:color w:val="000000"/>
                <w:lang w:val="en-GB" w:eastAsia="de-DE"/>
              </w:rPr>
            </w:pPr>
            <w:r w:rsidRPr="007E20B6">
              <w:rPr>
                <w:rFonts w:eastAsia="Times New Roman"/>
                <w:b/>
                <w:bCs/>
                <w:color w:val="000000"/>
                <w:lang w:val="en-GB" w:eastAsia="de-DE"/>
              </w:rPr>
              <w:t>General device description</w:t>
            </w:r>
          </w:p>
        </w:tc>
        <w:tc>
          <w:tcPr>
            <w:tcW w:w="1014" w:type="dxa"/>
            <w:shd w:val="clear" w:color="000000" w:fill="FFFFFF"/>
            <w:noWrap/>
            <w:vAlign w:val="center"/>
          </w:tcPr>
          <w:p w14:paraId="13C88F1D"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10270D66"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9C1A11A"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539CEEE" w14:textId="7D02A6B0" w:rsidR="009E533D" w:rsidRPr="004C3A94" w:rsidRDefault="009E533D" w:rsidP="00161865">
            <w:pPr>
              <w:adjustRightInd/>
              <w:spacing w:after="0" w:line="240" w:lineRule="auto"/>
              <w:ind w:right="0"/>
              <w:rPr>
                <w:rFonts w:eastAsia="Times New Roman" w:cs="Calibri"/>
                <w:color w:val="000000"/>
                <w:lang w:val="en-GB" w:eastAsia="de-DE"/>
              </w:rPr>
            </w:pPr>
          </w:p>
        </w:tc>
      </w:tr>
      <w:tr w:rsidR="009E533D" w:rsidRPr="004B5366" w14:paraId="2BB18DA2" w14:textId="77777777" w:rsidTr="00161865">
        <w:trPr>
          <w:trHeight w:val="561"/>
        </w:trPr>
        <w:tc>
          <w:tcPr>
            <w:tcW w:w="715" w:type="dxa"/>
            <w:shd w:val="clear" w:color="000000" w:fill="FFFFFF"/>
            <w:noWrap/>
            <w:vAlign w:val="center"/>
          </w:tcPr>
          <w:p w14:paraId="527EAF99" w14:textId="77777777" w:rsidR="009E533D" w:rsidRPr="00A0478D" w:rsidRDefault="009E533D"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889F30B" w14:textId="77777777" w:rsidR="009E533D" w:rsidRPr="007E20B6"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7E20B6">
              <w:rPr>
                <w:rFonts w:eastAsia="Times New Roman"/>
                <w:color w:val="000000"/>
                <w:szCs w:val="20"/>
                <w:lang w:val="en-GB" w:eastAsia="de-DE"/>
              </w:rPr>
              <w:t>the description of the principle of the assay method or the principles of operation of the instrument;</w:t>
            </w:r>
          </w:p>
          <w:p w14:paraId="4F3DC676" w14:textId="77777777" w:rsidR="009E533D" w:rsidRPr="007E20B6"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7E20B6">
              <w:rPr>
                <w:rFonts w:eastAsia="Times New Roman"/>
                <w:color w:val="000000"/>
                <w:szCs w:val="20"/>
                <w:lang w:val="en-GB" w:eastAsia="de-DE"/>
              </w:rPr>
              <w:t>the description of the reactive ingredients of relevant components such as antibodies, antigens, nucleic acid primers; and where applicable:</w:t>
            </w:r>
          </w:p>
          <w:p w14:paraId="0FF37210" w14:textId="77777777" w:rsidR="009E533D" w:rsidRPr="007E20B6"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7E20B6">
              <w:rPr>
                <w:rFonts w:eastAsia="Times New Roman"/>
                <w:color w:val="000000"/>
                <w:szCs w:val="20"/>
                <w:lang w:val="en-GB" w:eastAsia="de-DE"/>
              </w:rPr>
              <w:lastRenderedPageBreak/>
              <w:t>the description of the specimen collection and transport materials provided with the device or descriptions of specifications recommended for use;</w:t>
            </w:r>
          </w:p>
          <w:p w14:paraId="096B9773" w14:textId="77777777" w:rsidR="009E533D" w:rsidRPr="007E20B6" w:rsidRDefault="009E533D" w:rsidP="00161865">
            <w:pPr>
              <w:pStyle w:val="Listenabsatz"/>
              <w:numPr>
                <w:ilvl w:val="0"/>
                <w:numId w:val="2"/>
              </w:numPr>
              <w:adjustRightInd/>
              <w:spacing w:after="0" w:line="240" w:lineRule="auto"/>
              <w:ind w:right="0"/>
              <w:rPr>
                <w:rFonts w:eastAsia="Times New Roman"/>
                <w:color w:val="000000"/>
                <w:szCs w:val="20"/>
                <w:lang w:val="en-GB" w:eastAsia="de-DE"/>
              </w:rPr>
            </w:pPr>
            <w:r w:rsidRPr="007E20B6">
              <w:rPr>
                <w:rFonts w:eastAsia="Times New Roman"/>
                <w:color w:val="000000"/>
                <w:szCs w:val="20"/>
                <w:lang w:val="en-GB" w:eastAsia="de-DE"/>
              </w:rPr>
              <w:t>for instruments of automated assays: the description of the appropriate assay characteristics or dedicated assays;</w:t>
            </w:r>
          </w:p>
          <w:p w14:paraId="5F5F7894" w14:textId="77777777" w:rsidR="00FF7581" w:rsidRPr="00FF7581" w:rsidRDefault="009E533D" w:rsidP="00161865">
            <w:pPr>
              <w:pStyle w:val="Listenabsatz"/>
              <w:numPr>
                <w:ilvl w:val="0"/>
                <w:numId w:val="2"/>
              </w:numPr>
              <w:adjustRightInd/>
              <w:spacing w:after="0" w:line="240" w:lineRule="auto"/>
              <w:ind w:right="0"/>
              <w:rPr>
                <w:rFonts w:eastAsia="Times New Roman"/>
                <w:b/>
                <w:bCs/>
                <w:color w:val="000000"/>
                <w:lang w:val="en-GB" w:eastAsia="de-DE"/>
              </w:rPr>
            </w:pPr>
            <w:r w:rsidRPr="007E20B6">
              <w:rPr>
                <w:rFonts w:eastAsia="Times New Roman"/>
                <w:color w:val="000000"/>
                <w:szCs w:val="20"/>
                <w:lang w:val="en-GB" w:eastAsia="de-DE"/>
              </w:rPr>
              <w:t>for automated assays: a description of the appropriate instrumentation characteristics or dedicated instrumentation;</w:t>
            </w:r>
          </w:p>
          <w:p w14:paraId="61236B6E" w14:textId="175CD4E1" w:rsidR="009E533D" w:rsidRPr="007E20B6" w:rsidRDefault="009E533D" w:rsidP="00161865">
            <w:pPr>
              <w:pStyle w:val="Listenabsatz"/>
              <w:numPr>
                <w:ilvl w:val="0"/>
                <w:numId w:val="2"/>
              </w:numPr>
              <w:adjustRightInd/>
              <w:spacing w:after="0" w:line="240" w:lineRule="auto"/>
              <w:ind w:right="0"/>
              <w:rPr>
                <w:rFonts w:eastAsia="Times New Roman"/>
                <w:b/>
                <w:bCs/>
                <w:color w:val="000000"/>
                <w:lang w:val="en-GB" w:eastAsia="de-DE"/>
              </w:rPr>
            </w:pPr>
            <w:r w:rsidRPr="007E20B6">
              <w:rPr>
                <w:rFonts w:eastAsia="Times New Roman"/>
                <w:color w:val="000000"/>
                <w:szCs w:val="20"/>
                <w:lang w:val="en-GB" w:eastAsia="de-DE"/>
              </w:rPr>
              <w:t>a description of any software to be used with the device</w:t>
            </w:r>
          </w:p>
        </w:tc>
        <w:tc>
          <w:tcPr>
            <w:tcW w:w="1014" w:type="dxa"/>
            <w:shd w:val="clear" w:color="000000" w:fill="FFFFFF"/>
            <w:noWrap/>
            <w:vAlign w:val="center"/>
          </w:tcPr>
          <w:p w14:paraId="26DD358D"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F5C2CDB"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979C20A"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E317DBC" w14:textId="444E4354" w:rsidR="009E533D" w:rsidRPr="004C3A94" w:rsidRDefault="009E533D" w:rsidP="00161865">
            <w:pPr>
              <w:adjustRightInd/>
              <w:spacing w:after="0" w:line="240" w:lineRule="auto"/>
              <w:ind w:right="0"/>
              <w:rPr>
                <w:rFonts w:eastAsia="Times New Roman" w:cs="Calibri"/>
                <w:color w:val="000000"/>
                <w:lang w:val="en-GB" w:eastAsia="de-DE"/>
              </w:rPr>
            </w:pPr>
          </w:p>
        </w:tc>
      </w:tr>
      <w:tr w:rsidR="009E533D" w:rsidRPr="00AF7A73" w14:paraId="6955F054" w14:textId="77777777" w:rsidTr="00161865">
        <w:trPr>
          <w:trHeight w:val="561"/>
        </w:trPr>
        <w:tc>
          <w:tcPr>
            <w:tcW w:w="715" w:type="dxa"/>
            <w:shd w:val="clear" w:color="000000" w:fill="FFFFFF"/>
            <w:noWrap/>
            <w:vAlign w:val="center"/>
          </w:tcPr>
          <w:p w14:paraId="03FFFEB8" w14:textId="570ACAA5" w:rsidR="009E533D" w:rsidRPr="00A0478D" w:rsidRDefault="009E533D"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w:t>
            </w:r>
            <w:r w:rsidR="003871DB">
              <w:rPr>
                <w:rFonts w:eastAsia="Times New Roman" w:cs="Calibri"/>
                <w:b/>
                <w:bCs/>
                <w:color w:val="000000"/>
                <w:lang w:val="en-GB" w:eastAsia="de-DE"/>
              </w:rPr>
              <w:t>1.</w:t>
            </w:r>
            <w:r w:rsidRPr="00A0478D">
              <w:rPr>
                <w:rFonts w:eastAsia="Times New Roman" w:cs="Calibri"/>
                <w:b/>
                <w:bCs/>
                <w:color w:val="000000"/>
                <w:lang w:val="en-GB" w:eastAsia="de-DE"/>
              </w:rPr>
              <w:t>5</w:t>
            </w:r>
          </w:p>
        </w:tc>
        <w:tc>
          <w:tcPr>
            <w:tcW w:w="4955" w:type="dxa"/>
            <w:shd w:val="clear" w:color="000000" w:fill="FFFFFF"/>
            <w:noWrap/>
            <w:vAlign w:val="center"/>
          </w:tcPr>
          <w:p w14:paraId="0EDB935E" w14:textId="1CACF99F" w:rsidR="009E533D" w:rsidRPr="007E20B6" w:rsidRDefault="009E533D" w:rsidP="00161865">
            <w:pPr>
              <w:adjustRightInd/>
              <w:spacing w:after="0" w:line="240" w:lineRule="auto"/>
              <w:ind w:right="0"/>
              <w:rPr>
                <w:rFonts w:eastAsia="Times New Roman"/>
                <w:b/>
                <w:bCs/>
                <w:color w:val="000000"/>
                <w:lang w:val="en-GB" w:eastAsia="de-DE"/>
              </w:rPr>
            </w:pPr>
            <w:r w:rsidRPr="007E20B6">
              <w:rPr>
                <w:rFonts w:eastAsia="Times New Roman"/>
                <w:b/>
                <w:bCs/>
                <w:color w:val="000000"/>
                <w:lang w:val="en-GB" w:eastAsia="de-DE"/>
              </w:rPr>
              <w:t xml:space="preserve">Qualification </w:t>
            </w:r>
            <w:r w:rsidR="003871DB">
              <w:rPr>
                <w:rFonts w:eastAsia="Times New Roman"/>
                <w:b/>
                <w:bCs/>
                <w:color w:val="000000"/>
                <w:lang w:val="en-GB" w:eastAsia="de-DE"/>
              </w:rPr>
              <w:t>and classification</w:t>
            </w:r>
          </w:p>
        </w:tc>
        <w:tc>
          <w:tcPr>
            <w:tcW w:w="1014" w:type="dxa"/>
            <w:shd w:val="clear" w:color="000000" w:fill="FFFFFF"/>
            <w:noWrap/>
            <w:vAlign w:val="center"/>
          </w:tcPr>
          <w:p w14:paraId="18B12B4F"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FD724FA"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CFDE417"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BB27C43" w14:textId="1F15A8EA" w:rsidR="009E533D" w:rsidRPr="004C3A94" w:rsidRDefault="009E533D" w:rsidP="00161865">
            <w:pPr>
              <w:adjustRightInd/>
              <w:spacing w:after="0" w:line="240" w:lineRule="auto"/>
              <w:ind w:right="0"/>
              <w:rPr>
                <w:rFonts w:eastAsia="Times New Roman" w:cs="Calibri"/>
                <w:color w:val="000000"/>
                <w:lang w:val="en-GB" w:eastAsia="de-DE"/>
              </w:rPr>
            </w:pPr>
          </w:p>
        </w:tc>
      </w:tr>
      <w:tr w:rsidR="009E533D" w:rsidRPr="004B5366" w14:paraId="2AC9B3E8" w14:textId="77777777" w:rsidTr="00161865">
        <w:trPr>
          <w:trHeight w:val="561"/>
        </w:trPr>
        <w:tc>
          <w:tcPr>
            <w:tcW w:w="715" w:type="dxa"/>
            <w:shd w:val="clear" w:color="000000" w:fill="FFFFFF"/>
            <w:noWrap/>
            <w:vAlign w:val="center"/>
          </w:tcPr>
          <w:p w14:paraId="3A034C27" w14:textId="77777777" w:rsidR="009E533D" w:rsidRPr="00A0478D" w:rsidRDefault="009E533D"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0FAE40D2" w14:textId="77777777" w:rsidR="009E533D" w:rsidRPr="003871DB" w:rsidRDefault="009E533D" w:rsidP="00161865">
            <w:pPr>
              <w:pStyle w:val="Listenabsatz"/>
              <w:numPr>
                <w:ilvl w:val="0"/>
                <w:numId w:val="14"/>
              </w:numPr>
              <w:adjustRightInd/>
              <w:spacing w:after="0" w:line="240" w:lineRule="auto"/>
              <w:ind w:right="0"/>
              <w:rPr>
                <w:rFonts w:eastAsia="Times New Roman"/>
                <w:b/>
                <w:bCs/>
                <w:color w:val="000000"/>
                <w:lang w:val="en-GB" w:eastAsia="de-DE"/>
              </w:rPr>
            </w:pPr>
            <w:r w:rsidRPr="003871DB">
              <w:rPr>
                <w:rFonts w:eastAsia="Times New Roman"/>
                <w:color w:val="000000"/>
                <w:lang w:val="en-GB" w:eastAsia="de-DE"/>
              </w:rPr>
              <w:t>Rationale for the qualification of the product as an In Vitro Diagnostic medical device.</w:t>
            </w:r>
          </w:p>
          <w:p w14:paraId="61A5469C" w14:textId="77777777" w:rsidR="003871DB" w:rsidRPr="003871DB" w:rsidRDefault="003871DB" w:rsidP="00161865">
            <w:pPr>
              <w:pStyle w:val="Listenabsatz"/>
              <w:numPr>
                <w:ilvl w:val="0"/>
                <w:numId w:val="14"/>
              </w:numPr>
              <w:adjustRightInd/>
              <w:spacing w:after="0" w:line="240" w:lineRule="auto"/>
              <w:ind w:right="0"/>
              <w:rPr>
                <w:rFonts w:eastAsia="Times New Roman"/>
                <w:b/>
                <w:bCs/>
                <w:color w:val="000000"/>
                <w:lang w:val="en-GB" w:eastAsia="de-DE"/>
              </w:rPr>
            </w:pPr>
            <w:r w:rsidRPr="007E20B6">
              <w:rPr>
                <w:rFonts w:eastAsia="Times New Roman"/>
                <w:color w:val="000000"/>
                <w:szCs w:val="20"/>
                <w:lang w:val="en-GB" w:eastAsia="de-DE"/>
              </w:rPr>
              <w:t xml:space="preserve">The rule(s) used for classification including the bullet point of classification rule shall be named, a </w:t>
            </w:r>
            <w:r>
              <w:rPr>
                <w:rFonts w:eastAsia="Times New Roman"/>
                <w:color w:val="000000"/>
                <w:lang w:val="en-GB" w:eastAsia="de-DE"/>
              </w:rPr>
              <w:t>j</w:t>
            </w:r>
            <w:r w:rsidRPr="007E20B6">
              <w:rPr>
                <w:rFonts w:eastAsia="Times New Roman"/>
                <w:color w:val="000000"/>
                <w:szCs w:val="20"/>
                <w:lang w:val="en-GB" w:eastAsia="de-DE"/>
              </w:rPr>
              <w:t>ustification shall be given.</w:t>
            </w:r>
          </w:p>
          <w:p w14:paraId="07393F12" w14:textId="4C9DD5E1" w:rsidR="003871DB" w:rsidRPr="003871DB" w:rsidRDefault="003871DB" w:rsidP="00161865">
            <w:pPr>
              <w:pStyle w:val="Listenabsatz"/>
              <w:numPr>
                <w:ilvl w:val="0"/>
                <w:numId w:val="14"/>
              </w:numPr>
              <w:adjustRightInd/>
              <w:spacing w:after="0" w:line="240" w:lineRule="auto"/>
              <w:ind w:right="0"/>
              <w:rPr>
                <w:rFonts w:eastAsia="Times New Roman"/>
                <w:b/>
                <w:bCs/>
                <w:color w:val="000000"/>
                <w:lang w:val="en-GB" w:eastAsia="de-DE"/>
              </w:rPr>
            </w:pPr>
            <w:r>
              <w:rPr>
                <w:rFonts w:eastAsia="Times New Roman"/>
                <w:color w:val="000000"/>
                <w:lang w:val="en-GB" w:eastAsia="de-DE"/>
              </w:rPr>
              <w:t>The risk class of the device</w:t>
            </w:r>
          </w:p>
          <w:p w14:paraId="2B8D4D1C" w14:textId="3EA0E7AF" w:rsidR="003871DB" w:rsidRPr="003871DB" w:rsidRDefault="003871DB" w:rsidP="00161865">
            <w:pPr>
              <w:pStyle w:val="Listenabsatz"/>
              <w:numPr>
                <w:ilvl w:val="0"/>
                <w:numId w:val="14"/>
              </w:numPr>
              <w:adjustRightInd/>
              <w:spacing w:after="0" w:line="240" w:lineRule="auto"/>
              <w:ind w:right="0"/>
              <w:rPr>
                <w:rFonts w:eastAsia="Times New Roman"/>
                <w:b/>
                <w:bCs/>
                <w:color w:val="000000"/>
                <w:lang w:val="en-GB" w:eastAsia="de-DE"/>
              </w:rPr>
            </w:pPr>
            <w:r>
              <w:rPr>
                <w:rFonts w:eastAsia="Times New Roman"/>
                <w:color w:val="000000"/>
                <w:lang w:val="en-GB" w:eastAsia="de-DE"/>
              </w:rPr>
              <w:t>EMDN classification (if applicable)</w:t>
            </w:r>
          </w:p>
        </w:tc>
        <w:tc>
          <w:tcPr>
            <w:tcW w:w="1014" w:type="dxa"/>
            <w:shd w:val="clear" w:color="000000" w:fill="FFFFFF"/>
            <w:noWrap/>
            <w:vAlign w:val="center"/>
          </w:tcPr>
          <w:p w14:paraId="66D3F5F3"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C8F4FC1" w14:textId="77777777" w:rsidR="009E533D" w:rsidRPr="004C3A94" w:rsidRDefault="009E533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E37252A" w14:textId="77777777" w:rsidR="009E533D" w:rsidRPr="004C3A94" w:rsidRDefault="009E533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0F38F35" w14:textId="74A433F5" w:rsidR="009E533D" w:rsidRPr="004C3A94" w:rsidRDefault="00E47628" w:rsidP="00161865">
            <w:pPr>
              <w:adjustRightInd/>
              <w:spacing w:after="0" w:line="240" w:lineRule="auto"/>
              <w:ind w:right="0"/>
              <w:rPr>
                <w:rFonts w:eastAsia="Times New Roman" w:cs="Calibri"/>
                <w:color w:val="000000"/>
                <w:lang w:val="en-GB" w:eastAsia="de-DE"/>
              </w:rPr>
            </w:pPr>
            <w:r>
              <w:rPr>
                <w:rFonts w:eastAsia="Times New Roman" w:cs="Calibri"/>
                <w:color w:val="000000"/>
                <w:lang w:val="en-GB" w:eastAsia="de-DE"/>
              </w:rPr>
              <w:t>If you need help with the classification of your device, you may use our classification tool AstraClass for free: h</w:t>
            </w:r>
            <w:r w:rsidRPr="00E47628">
              <w:rPr>
                <w:rFonts w:eastAsia="Times New Roman" w:cs="Calibri"/>
                <w:color w:val="000000"/>
                <w:lang w:val="en-GB" w:eastAsia="de-DE"/>
              </w:rPr>
              <w:t>ttps://astracon.eu/tools/classification/</w:t>
            </w:r>
          </w:p>
        </w:tc>
      </w:tr>
      <w:tr w:rsidR="003871DB" w:rsidRPr="00AF7A73" w14:paraId="46EBB164" w14:textId="77777777" w:rsidTr="00161865">
        <w:trPr>
          <w:trHeight w:val="561"/>
        </w:trPr>
        <w:tc>
          <w:tcPr>
            <w:tcW w:w="715" w:type="dxa"/>
            <w:shd w:val="clear" w:color="000000" w:fill="FFFFFF"/>
            <w:noWrap/>
            <w:vAlign w:val="center"/>
          </w:tcPr>
          <w:p w14:paraId="7183168C" w14:textId="124F87C0" w:rsidR="003871DB" w:rsidRPr="00A0478D" w:rsidRDefault="003871DB"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1.1.6</w:t>
            </w:r>
          </w:p>
        </w:tc>
        <w:tc>
          <w:tcPr>
            <w:tcW w:w="4955" w:type="dxa"/>
            <w:shd w:val="clear" w:color="000000" w:fill="FFFFFF"/>
            <w:noWrap/>
            <w:vAlign w:val="center"/>
          </w:tcPr>
          <w:p w14:paraId="4D05001B" w14:textId="3D6F3CF7" w:rsidR="003871DB" w:rsidRPr="003871DB" w:rsidRDefault="003871DB" w:rsidP="00161865">
            <w:pPr>
              <w:adjustRightInd/>
              <w:spacing w:after="0" w:line="240" w:lineRule="auto"/>
              <w:ind w:left="360" w:right="0" w:hanging="360"/>
              <w:rPr>
                <w:rFonts w:eastAsia="Times New Roman"/>
                <w:b/>
                <w:bCs/>
                <w:color w:val="000000"/>
                <w:lang w:val="en-GB" w:eastAsia="de-DE"/>
              </w:rPr>
            </w:pPr>
            <w:r w:rsidRPr="003871DB">
              <w:rPr>
                <w:rFonts w:eastAsia="Times New Roman"/>
                <w:b/>
                <w:bCs/>
                <w:color w:val="000000"/>
                <w:lang w:val="en-GB" w:eastAsia="de-DE"/>
              </w:rPr>
              <w:t>Declaration of Conformity</w:t>
            </w:r>
          </w:p>
        </w:tc>
        <w:tc>
          <w:tcPr>
            <w:tcW w:w="1014" w:type="dxa"/>
            <w:shd w:val="clear" w:color="000000" w:fill="FFFFFF"/>
            <w:noWrap/>
            <w:vAlign w:val="center"/>
          </w:tcPr>
          <w:p w14:paraId="53E1E067" w14:textId="77777777" w:rsidR="003871DB" w:rsidRPr="004C3A94" w:rsidRDefault="003871DB"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1B6AAC08" w14:textId="77777777" w:rsidR="003871DB" w:rsidRPr="004C3A94" w:rsidRDefault="003871DB"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65675DD" w14:textId="77777777" w:rsidR="003871DB" w:rsidRPr="004C3A94" w:rsidRDefault="003871DB"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1DF479A7" w14:textId="77777777" w:rsidR="003871DB" w:rsidRPr="004C3A94" w:rsidRDefault="003871DB" w:rsidP="00161865">
            <w:pPr>
              <w:adjustRightInd/>
              <w:spacing w:after="0" w:line="240" w:lineRule="auto"/>
              <w:ind w:right="0"/>
              <w:rPr>
                <w:rFonts w:eastAsia="Times New Roman" w:cs="Calibri"/>
                <w:color w:val="000000"/>
                <w:lang w:val="en-GB" w:eastAsia="de-DE"/>
              </w:rPr>
            </w:pPr>
          </w:p>
        </w:tc>
      </w:tr>
      <w:tr w:rsidR="003871DB" w:rsidRPr="004B5366" w14:paraId="110BB3BB" w14:textId="77777777" w:rsidTr="00161865">
        <w:trPr>
          <w:trHeight w:val="561"/>
        </w:trPr>
        <w:tc>
          <w:tcPr>
            <w:tcW w:w="715" w:type="dxa"/>
            <w:shd w:val="clear" w:color="000000" w:fill="FFFFFF"/>
            <w:noWrap/>
            <w:vAlign w:val="center"/>
          </w:tcPr>
          <w:p w14:paraId="5260AFE3" w14:textId="77777777" w:rsidR="003871DB" w:rsidRPr="00A0478D" w:rsidRDefault="003871DB"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624871C0" w14:textId="0486A3BB" w:rsidR="003871DB" w:rsidRPr="003871DB" w:rsidRDefault="003871DB" w:rsidP="00161865">
            <w:pPr>
              <w:adjustRightInd/>
              <w:spacing w:after="0" w:line="240" w:lineRule="auto"/>
              <w:ind w:right="0"/>
              <w:rPr>
                <w:rFonts w:eastAsia="Times New Roman"/>
                <w:color w:val="000000"/>
                <w:lang w:val="en-GB" w:eastAsia="de-DE"/>
              </w:rPr>
            </w:pPr>
            <w:r>
              <w:rPr>
                <w:rFonts w:eastAsia="Times New Roman"/>
                <w:color w:val="000000"/>
                <w:lang w:val="en-GB" w:eastAsia="de-DE"/>
              </w:rPr>
              <w:t>Declaration of Conformity according to Annex IV of IVDR</w:t>
            </w:r>
            <w:r w:rsidR="006A5255">
              <w:rPr>
                <w:rFonts w:eastAsia="Times New Roman"/>
                <w:color w:val="000000"/>
                <w:lang w:val="en-GB" w:eastAsia="de-DE"/>
              </w:rPr>
              <w:t xml:space="preserve"> (</w:t>
            </w:r>
            <w:r w:rsidR="006A5255" w:rsidRPr="006A5255">
              <w:rPr>
                <w:rFonts w:eastAsia="Times New Roman"/>
                <w:color w:val="000000"/>
                <w:lang w:val="en-GB" w:eastAsia="de-DE"/>
              </w:rPr>
              <w:t>For initial certification (e.g., according to IVDR), the declaration of conformity must be submitted as a draft.</w:t>
            </w:r>
            <w:r w:rsidR="006A5255">
              <w:rPr>
                <w:rFonts w:eastAsia="Times New Roman"/>
                <w:color w:val="000000"/>
                <w:lang w:val="en-GB" w:eastAsia="de-DE"/>
              </w:rPr>
              <w:t>)</w:t>
            </w:r>
          </w:p>
        </w:tc>
        <w:tc>
          <w:tcPr>
            <w:tcW w:w="1014" w:type="dxa"/>
            <w:shd w:val="clear" w:color="000000" w:fill="FFFFFF"/>
            <w:noWrap/>
            <w:vAlign w:val="center"/>
          </w:tcPr>
          <w:p w14:paraId="1040CE3C" w14:textId="77777777" w:rsidR="003871DB" w:rsidRPr="004C3A94" w:rsidRDefault="003871DB"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1349476" w14:textId="77777777" w:rsidR="003871DB" w:rsidRPr="004C3A94" w:rsidRDefault="003871DB"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9304356" w14:textId="77777777" w:rsidR="003871DB" w:rsidRPr="004C3A94" w:rsidRDefault="003871DB"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B943D97" w14:textId="77777777" w:rsidR="003871DB" w:rsidRPr="004C3A94" w:rsidRDefault="003871DB" w:rsidP="00161865">
            <w:pPr>
              <w:adjustRightInd/>
              <w:spacing w:after="0" w:line="240" w:lineRule="auto"/>
              <w:ind w:right="0"/>
              <w:rPr>
                <w:rFonts w:eastAsia="Times New Roman" w:cs="Calibri"/>
                <w:color w:val="000000"/>
                <w:lang w:val="en-GB" w:eastAsia="de-DE"/>
              </w:rPr>
            </w:pPr>
          </w:p>
        </w:tc>
      </w:tr>
      <w:tr w:rsidR="006A5255" w:rsidRPr="00AF7A73" w14:paraId="6E8E5AFD" w14:textId="77777777" w:rsidTr="00161865">
        <w:trPr>
          <w:trHeight w:val="561"/>
        </w:trPr>
        <w:tc>
          <w:tcPr>
            <w:tcW w:w="715" w:type="dxa"/>
            <w:shd w:val="clear" w:color="000000" w:fill="FFFFFF"/>
            <w:noWrap/>
            <w:vAlign w:val="center"/>
          </w:tcPr>
          <w:p w14:paraId="422DE401" w14:textId="42DB554D" w:rsidR="006A5255" w:rsidRPr="00A0478D" w:rsidRDefault="006A5255"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w:t>
            </w:r>
            <w:r>
              <w:rPr>
                <w:rFonts w:eastAsia="Times New Roman" w:cs="Calibri"/>
                <w:b/>
                <w:bCs/>
                <w:color w:val="000000"/>
                <w:lang w:val="en-GB" w:eastAsia="de-DE"/>
              </w:rPr>
              <w:t>1.7</w:t>
            </w:r>
          </w:p>
        </w:tc>
        <w:tc>
          <w:tcPr>
            <w:tcW w:w="4955" w:type="dxa"/>
            <w:shd w:val="clear" w:color="000000" w:fill="FFFFFF"/>
            <w:noWrap/>
            <w:vAlign w:val="center"/>
          </w:tcPr>
          <w:p w14:paraId="7590CEE1" w14:textId="1291BC66" w:rsidR="006A5255" w:rsidRDefault="006A5255" w:rsidP="00161865">
            <w:pPr>
              <w:adjustRightInd/>
              <w:spacing w:after="0" w:line="240" w:lineRule="auto"/>
              <w:ind w:right="0"/>
              <w:rPr>
                <w:rFonts w:eastAsia="Times New Roman"/>
                <w:color w:val="000000"/>
                <w:lang w:val="en-GB" w:eastAsia="de-DE"/>
              </w:rPr>
            </w:pPr>
            <w:r w:rsidRPr="007E20B6">
              <w:rPr>
                <w:rFonts w:eastAsia="Times New Roman"/>
                <w:b/>
                <w:bCs/>
                <w:color w:val="000000"/>
                <w:lang w:val="en-GB" w:eastAsia="de-DE"/>
              </w:rPr>
              <w:t>Composition of the device</w:t>
            </w:r>
          </w:p>
        </w:tc>
        <w:tc>
          <w:tcPr>
            <w:tcW w:w="1014" w:type="dxa"/>
            <w:shd w:val="clear" w:color="000000" w:fill="FFFFFF"/>
            <w:noWrap/>
            <w:vAlign w:val="center"/>
          </w:tcPr>
          <w:p w14:paraId="4F5D89BE"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27A2F8A"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347EA217" w14:textId="77777777" w:rsidR="006A5255" w:rsidRPr="004C3A94" w:rsidRDefault="006A5255"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91D27D7" w14:textId="77777777" w:rsidR="006A5255" w:rsidRPr="004C3A94" w:rsidRDefault="006A5255" w:rsidP="00161865">
            <w:pPr>
              <w:adjustRightInd/>
              <w:spacing w:after="0" w:line="240" w:lineRule="auto"/>
              <w:ind w:right="0"/>
              <w:rPr>
                <w:rFonts w:eastAsia="Times New Roman" w:cs="Calibri"/>
                <w:color w:val="000000"/>
                <w:lang w:val="en-GB" w:eastAsia="de-DE"/>
              </w:rPr>
            </w:pPr>
          </w:p>
        </w:tc>
      </w:tr>
      <w:tr w:rsidR="006A5255" w:rsidRPr="004B5366" w14:paraId="6B88D5C0" w14:textId="77777777" w:rsidTr="00161865">
        <w:trPr>
          <w:trHeight w:val="561"/>
        </w:trPr>
        <w:tc>
          <w:tcPr>
            <w:tcW w:w="715" w:type="dxa"/>
            <w:shd w:val="clear" w:color="000000" w:fill="FFFFFF"/>
            <w:noWrap/>
            <w:vAlign w:val="center"/>
          </w:tcPr>
          <w:p w14:paraId="682335C4" w14:textId="77777777" w:rsidR="006A5255" w:rsidRPr="00A0478D" w:rsidRDefault="006A5255"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9D29338" w14:textId="31696601" w:rsidR="00C57D72" w:rsidRPr="00FF7581" w:rsidRDefault="00C57D72" w:rsidP="00161865">
            <w:pPr>
              <w:adjustRightInd/>
              <w:spacing w:after="0" w:line="240" w:lineRule="auto"/>
              <w:ind w:right="0"/>
              <w:rPr>
                <w:rFonts w:eastAsia="Times New Roman"/>
                <w:color w:val="000000"/>
                <w:lang w:val="en-GB" w:eastAsia="de-DE"/>
              </w:rPr>
            </w:pPr>
            <w:r w:rsidRPr="00FF7581">
              <w:rPr>
                <w:rFonts w:eastAsia="Times New Roman"/>
                <w:color w:val="000000"/>
                <w:lang w:val="en-GB" w:eastAsia="de-DE"/>
              </w:rPr>
              <w:t xml:space="preserve">Specifications Raw materials/parts/components such as technical specifications, materials, properties, dimensions </w:t>
            </w:r>
            <w:r w:rsidRPr="00FF7581">
              <w:rPr>
                <w:rFonts w:eastAsia="Times New Roman"/>
                <w:color w:val="000000"/>
                <w:lang w:val="en-GB" w:eastAsia="de-DE"/>
              </w:rPr>
              <w:lastRenderedPageBreak/>
              <w:t>and performance attributes; in particular integrated raw materials as well as substances that come into direct or indirect contact with the human body, specifications packaging materials (primary and secondary packaging, If applicable, meaningful certificates of analysis from suppliers, material certificates, test certificates.</w:t>
            </w:r>
          </w:p>
        </w:tc>
        <w:tc>
          <w:tcPr>
            <w:tcW w:w="1014" w:type="dxa"/>
            <w:shd w:val="clear" w:color="000000" w:fill="FFFFFF"/>
            <w:noWrap/>
            <w:vAlign w:val="center"/>
          </w:tcPr>
          <w:p w14:paraId="0E669E38"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11D079C7"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5DC79F3" w14:textId="77777777" w:rsidR="006A5255" w:rsidRPr="004C3A94" w:rsidRDefault="006A5255"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63F0AA8" w14:textId="77777777" w:rsidR="006A5255" w:rsidRPr="004C3A94" w:rsidRDefault="006A5255" w:rsidP="00161865">
            <w:pPr>
              <w:adjustRightInd/>
              <w:spacing w:after="0" w:line="240" w:lineRule="auto"/>
              <w:ind w:right="0"/>
              <w:rPr>
                <w:rFonts w:eastAsia="Times New Roman" w:cs="Calibri"/>
                <w:color w:val="000000"/>
                <w:lang w:val="en-GB" w:eastAsia="de-DE"/>
              </w:rPr>
            </w:pPr>
          </w:p>
        </w:tc>
      </w:tr>
      <w:tr w:rsidR="006A5255" w:rsidRPr="00AF7A73" w14:paraId="45E9C102" w14:textId="77777777" w:rsidTr="00161865">
        <w:trPr>
          <w:trHeight w:val="561"/>
        </w:trPr>
        <w:tc>
          <w:tcPr>
            <w:tcW w:w="715" w:type="dxa"/>
            <w:shd w:val="clear" w:color="000000" w:fill="FFFFFF"/>
            <w:noWrap/>
            <w:vAlign w:val="center"/>
          </w:tcPr>
          <w:p w14:paraId="56929B85" w14:textId="2CE5F45F" w:rsidR="006A5255" w:rsidRPr="00A0478D" w:rsidRDefault="008B2B69"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1.1.8</w:t>
            </w:r>
          </w:p>
        </w:tc>
        <w:tc>
          <w:tcPr>
            <w:tcW w:w="4955" w:type="dxa"/>
            <w:shd w:val="clear" w:color="000000" w:fill="FFFFFF"/>
            <w:noWrap/>
            <w:vAlign w:val="center"/>
          </w:tcPr>
          <w:p w14:paraId="516527F0" w14:textId="74617024" w:rsidR="006A5255" w:rsidRPr="007E20B6" w:rsidRDefault="008B2B69" w:rsidP="00161865">
            <w:pPr>
              <w:adjustRightInd/>
              <w:spacing w:after="0" w:line="240" w:lineRule="auto"/>
              <w:ind w:right="0"/>
              <w:rPr>
                <w:rFonts w:eastAsia="Times New Roman"/>
                <w:b/>
                <w:bCs/>
                <w:color w:val="000000"/>
                <w:lang w:val="en-GB" w:eastAsia="de-DE"/>
              </w:rPr>
            </w:pPr>
            <w:r w:rsidRPr="008B2B69">
              <w:rPr>
                <w:rFonts w:eastAsia="Times New Roman"/>
                <w:b/>
                <w:bCs/>
                <w:color w:val="000000"/>
                <w:lang w:val="en-GB" w:eastAsia="de-DE"/>
              </w:rPr>
              <w:t>Sampling and preparation</w:t>
            </w:r>
          </w:p>
        </w:tc>
        <w:tc>
          <w:tcPr>
            <w:tcW w:w="1014" w:type="dxa"/>
            <w:shd w:val="clear" w:color="000000" w:fill="FFFFFF"/>
            <w:noWrap/>
            <w:vAlign w:val="center"/>
          </w:tcPr>
          <w:p w14:paraId="30BA0E3C"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CC0EAC9"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A455100" w14:textId="77777777" w:rsidR="006A5255" w:rsidRPr="004C3A94" w:rsidRDefault="006A5255"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3FFC1CCD" w14:textId="6C89B72E" w:rsidR="006A5255" w:rsidRPr="004C3A94" w:rsidRDefault="006A5255" w:rsidP="00161865">
            <w:pPr>
              <w:adjustRightInd/>
              <w:spacing w:after="0" w:line="240" w:lineRule="auto"/>
              <w:ind w:right="0"/>
              <w:rPr>
                <w:rFonts w:eastAsia="Times New Roman" w:cs="Calibri"/>
                <w:color w:val="000000"/>
                <w:lang w:val="en-GB" w:eastAsia="de-DE"/>
              </w:rPr>
            </w:pPr>
          </w:p>
        </w:tc>
      </w:tr>
      <w:tr w:rsidR="006A5255" w:rsidRPr="004B5366" w14:paraId="03DAFBC7" w14:textId="77777777" w:rsidTr="00161865">
        <w:trPr>
          <w:trHeight w:val="561"/>
        </w:trPr>
        <w:tc>
          <w:tcPr>
            <w:tcW w:w="715" w:type="dxa"/>
            <w:shd w:val="clear" w:color="000000" w:fill="FFFFFF"/>
            <w:noWrap/>
            <w:vAlign w:val="center"/>
          </w:tcPr>
          <w:p w14:paraId="1C70A276" w14:textId="77777777" w:rsidR="006A5255" w:rsidRPr="00A0478D" w:rsidRDefault="006A5255"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81553F2" w14:textId="5C9844AF" w:rsidR="006A5255" w:rsidRPr="008B2B69" w:rsidRDefault="008B2B69" w:rsidP="00161865">
            <w:pPr>
              <w:adjustRightInd/>
              <w:spacing w:after="0" w:line="240" w:lineRule="auto"/>
              <w:ind w:right="0"/>
              <w:rPr>
                <w:rFonts w:eastAsia="Times New Roman"/>
                <w:color w:val="000000"/>
                <w:lang w:val="en-GB" w:eastAsia="de-DE"/>
              </w:rPr>
            </w:pPr>
            <w:r w:rsidRPr="008B2B69">
              <w:rPr>
                <w:rFonts w:eastAsia="Times New Roman"/>
                <w:color w:val="000000"/>
                <w:lang w:val="en-GB" w:eastAsia="de-DE"/>
              </w:rPr>
              <w:t>Description of the intended sampling procedures, treatments (</w:t>
            </w:r>
            <w:r w:rsidR="00161865" w:rsidRPr="008B2B69">
              <w:rPr>
                <w:rFonts w:eastAsia="Times New Roman"/>
                <w:color w:val="000000"/>
                <w:lang w:val="en-GB" w:eastAsia="de-DE"/>
              </w:rPr>
              <w:t>e.g.,</w:t>
            </w:r>
            <w:r w:rsidRPr="008B2B69">
              <w:rPr>
                <w:rFonts w:eastAsia="Times New Roman"/>
                <w:color w:val="000000"/>
                <w:lang w:val="en-GB" w:eastAsia="de-DE"/>
              </w:rPr>
              <w:t xml:space="preserve"> storage, anticoagulants) and preparations (filtration, centrifugation, purification, extraction) for all sample materials specified in the intended use.</w:t>
            </w:r>
          </w:p>
        </w:tc>
        <w:tc>
          <w:tcPr>
            <w:tcW w:w="1014" w:type="dxa"/>
            <w:shd w:val="clear" w:color="000000" w:fill="FFFFFF"/>
            <w:noWrap/>
            <w:vAlign w:val="center"/>
          </w:tcPr>
          <w:p w14:paraId="554244E7"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A5A3186"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6F64D6E" w14:textId="77777777" w:rsidR="006A5255" w:rsidRPr="004C3A94" w:rsidRDefault="006A5255"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12AD931" w14:textId="50415F6A" w:rsidR="006A5255" w:rsidRPr="004C3A94" w:rsidRDefault="006A5255" w:rsidP="00161865">
            <w:pPr>
              <w:adjustRightInd/>
              <w:spacing w:after="0" w:line="240" w:lineRule="auto"/>
              <w:ind w:right="0"/>
              <w:rPr>
                <w:rFonts w:eastAsia="Times New Roman" w:cs="Calibri"/>
                <w:color w:val="000000"/>
                <w:lang w:val="en-GB" w:eastAsia="de-DE"/>
              </w:rPr>
            </w:pPr>
          </w:p>
        </w:tc>
      </w:tr>
      <w:tr w:rsidR="006A5255" w:rsidRPr="00AF7A73" w14:paraId="0BBB4E6A" w14:textId="77777777" w:rsidTr="00161865">
        <w:trPr>
          <w:trHeight w:val="561"/>
        </w:trPr>
        <w:tc>
          <w:tcPr>
            <w:tcW w:w="715" w:type="dxa"/>
            <w:shd w:val="clear" w:color="000000" w:fill="FFFFFF"/>
            <w:noWrap/>
            <w:vAlign w:val="center"/>
          </w:tcPr>
          <w:p w14:paraId="3805D18E" w14:textId="49AFD8EE" w:rsidR="006A5255" w:rsidRPr="00A0478D" w:rsidRDefault="006A5255"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w:t>
            </w:r>
            <w:r w:rsidR="00C66B96">
              <w:rPr>
                <w:rFonts w:eastAsia="Times New Roman" w:cs="Calibri"/>
                <w:b/>
                <w:bCs/>
                <w:color w:val="000000"/>
                <w:lang w:val="en-GB" w:eastAsia="de-DE"/>
              </w:rPr>
              <w:t>1.9</w:t>
            </w:r>
          </w:p>
        </w:tc>
        <w:tc>
          <w:tcPr>
            <w:tcW w:w="4955" w:type="dxa"/>
            <w:shd w:val="clear" w:color="000000" w:fill="FFFFFF"/>
            <w:noWrap/>
            <w:vAlign w:val="center"/>
          </w:tcPr>
          <w:p w14:paraId="52451372" w14:textId="2592B580" w:rsidR="006A5255" w:rsidRPr="00DF5196" w:rsidRDefault="006A5255" w:rsidP="00161865">
            <w:pPr>
              <w:adjustRightInd/>
              <w:spacing w:after="0" w:line="240" w:lineRule="auto"/>
              <w:ind w:right="0"/>
              <w:rPr>
                <w:rFonts w:eastAsia="Times New Roman"/>
                <w:b/>
                <w:bCs/>
                <w:color w:val="000000"/>
                <w:lang w:val="en-GB" w:eastAsia="de-DE"/>
              </w:rPr>
            </w:pPr>
            <w:r w:rsidRPr="007E20B6">
              <w:rPr>
                <w:rFonts w:eastAsia="Times New Roman"/>
                <w:b/>
                <w:bCs/>
                <w:color w:val="000000"/>
                <w:lang w:val="en-GB" w:eastAsia="de-DE"/>
              </w:rPr>
              <w:t>Accessories and device combinations</w:t>
            </w:r>
          </w:p>
        </w:tc>
        <w:tc>
          <w:tcPr>
            <w:tcW w:w="1014" w:type="dxa"/>
            <w:shd w:val="clear" w:color="000000" w:fill="FFFFFF"/>
            <w:noWrap/>
            <w:vAlign w:val="center"/>
          </w:tcPr>
          <w:p w14:paraId="3F07D49B"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A741022"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C0BEA18" w14:textId="77777777" w:rsidR="006A5255" w:rsidRPr="004C3A94" w:rsidRDefault="006A5255"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19BA951" w14:textId="72149E5A" w:rsidR="006A5255" w:rsidRPr="004C3A94" w:rsidRDefault="006A5255" w:rsidP="00161865">
            <w:pPr>
              <w:adjustRightInd/>
              <w:spacing w:after="0" w:line="240" w:lineRule="auto"/>
              <w:ind w:right="0"/>
              <w:rPr>
                <w:rFonts w:eastAsia="Times New Roman" w:cs="Calibri"/>
                <w:color w:val="000000"/>
                <w:lang w:val="en-GB" w:eastAsia="de-DE"/>
              </w:rPr>
            </w:pPr>
          </w:p>
        </w:tc>
      </w:tr>
      <w:tr w:rsidR="006A5255" w:rsidRPr="00AF7A73" w14:paraId="67E3EDA5" w14:textId="77777777" w:rsidTr="00161865">
        <w:trPr>
          <w:trHeight w:val="561"/>
        </w:trPr>
        <w:tc>
          <w:tcPr>
            <w:tcW w:w="715" w:type="dxa"/>
            <w:shd w:val="clear" w:color="000000" w:fill="FFFFFF"/>
            <w:noWrap/>
            <w:vAlign w:val="center"/>
          </w:tcPr>
          <w:p w14:paraId="3F31DA3A" w14:textId="1C5B060C" w:rsidR="006A5255" w:rsidRPr="00A0478D" w:rsidRDefault="006A5255"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62DD3395" w14:textId="4E90D794" w:rsidR="006A5255" w:rsidRPr="007E20B6" w:rsidRDefault="006A5255" w:rsidP="00161865">
            <w:pPr>
              <w:adjustRightInd/>
              <w:spacing w:after="0" w:line="240" w:lineRule="auto"/>
              <w:ind w:right="0"/>
              <w:rPr>
                <w:rFonts w:eastAsia="Times New Roman"/>
                <w:color w:val="000000"/>
                <w:lang w:val="en-GB" w:eastAsia="de-DE"/>
              </w:rPr>
            </w:pPr>
            <w:r w:rsidRPr="007E20B6">
              <w:rPr>
                <w:rFonts w:eastAsia="Times New Roman"/>
                <w:color w:val="000000"/>
                <w:lang w:val="en-GB" w:eastAsia="de-DE"/>
              </w:rPr>
              <w:t xml:space="preserve">A description of all accessories, other medical devices and other products (generic, batteries, covers, </w:t>
            </w:r>
            <w:r>
              <w:rPr>
                <w:rFonts w:eastAsia="Times New Roman"/>
                <w:color w:val="000000"/>
                <w:lang w:val="en-GB" w:eastAsia="de-DE"/>
              </w:rPr>
              <w:t>b</w:t>
            </w:r>
            <w:r w:rsidRPr="007E20B6">
              <w:rPr>
                <w:rFonts w:eastAsia="Times New Roman"/>
                <w:color w:val="000000"/>
                <w:lang w:val="en-GB" w:eastAsia="de-DE"/>
              </w:rPr>
              <w:t>ags...) that are not medical devices, which are intended to be used in combination with it.</w:t>
            </w:r>
          </w:p>
          <w:p w14:paraId="3959EF19" w14:textId="77777777" w:rsidR="006A5255" w:rsidRDefault="006A5255" w:rsidP="00161865">
            <w:pPr>
              <w:adjustRightInd/>
              <w:spacing w:after="0" w:line="240" w:lineRule="auto"/>
              <w:ind w:right="0"/>
              <w:rPr>
                <w:rFonts w:eastAsia="Times New Roman"/>
                <w:color w:val="000000"/>
                <w:lang w:val="en-GB" w:eastAsia="de-DE"/>
              </w:rPr>
            </w:pPr>
          </w:p>
          <w:p w14:paraId="30FE6B7B" w14:textId="2B6E164A" w:rsidR="006A5255" w:rsidRDefault="006A5255" w:rsidP="00161865">
            <w:pPr>
              <w:adjustRightInd/>
              <w:spacing w:after="0" w:line="240" w:lineRule="auto"/>
              <w:ind w:right="0"/>
              <w:rPr>
                <w:rFonts w:eastAsia="Times New Roman"/>
                <w:color w:val="000000"/>
                <w:lang w:val="en-GB" w:eastAsia="de-DE"/>
              </w:rPr>
            </w:pPr>
            <w:r w:rsidRPr="007E20B6">
              <w:rPr>
                <w:rFonts w:eastAsia="Times New Roman"/>
                <w:color w:val="000000"/>
                <w:lang w:val="en-GB" w:eastAsia="de-DE"/>
              </w:rPr>
              <w:t>If the device is to be connected to other device(s) in order to operate as intended, a description of this combination/configuration including proof that it conforms to the general safety and performance requirements when connected to any such device(s) having regard to the characteristics specified by the manufacturer.</w:t>
            </w:r>
            <w:r>
              <w:rPr>
                <w:rFonts w:eastAsia="Times New Roman"/>
                <w:color w:val="000000"/>
                <w:lang w:val="en-GB" w:eastAsia="de-DE"/>
              </w:rPr>
              <w:t xml:space="preserve"> </w:t>
            </w:r>
          </w:p>
          <w:p w14:paraId="2316A295" w14:textId="77777777" w:rsidR="006A5255" w:rsidRDefault="006A5255" w:rsidP="00161865">
            <w:pPr>
              <w:adjustRightInd/>
              <w:spacing w:after="0" w:line="240" w:lineRule="auto"/>
              <w:ind w:right="0"/>
              <w:rPr>
                <w:rFonts w:eastAsia="Times New Roman"/>
                <w:color w:val="000000"/>
                <w:lang w:val="en-GB" w:eastAsia="de-DE"/>
              </w:rPr>
            </w:pPr>
          </w:p>
          <w:p w14:paraId="612B4E94" w14:textId="77777777" w:rsidR="006A5255" w:rsidRDefault="006A5255" w:rsidP="00161865">
            <w:pPr>
              <w:adjustRightInd/>
              <w:spacing w:after="0" w:line="240" w:lineRule="auto"/>
              <w:ind w:right="0"/>
              <w:rPr>
                <w:rFonts w:eastAsia="Times New Roman"/>
                <w:color w:val="000000"/>
                <w:lang w:val="en-GB" w:eastAsia="de-DE"/>
              </w:rPr>
            </w:pPr>
            <w:r w:rsidRPr="007E20B6">
              <w:rPr>
                <w:rFonts w:eastAsia="Times New Roman"/>
                <w:color w:val="000000"/>
                <w:lang w:val="en-GB" w:eastAsia="de-DE"/>
              </w:rPr>
              <w:t>Accessories provided separately need to have their own labelling, instruction for use, packaging and certification.</w:t>
            </w:r>
          </w:p>
          <w:p w14:paraId="768DA78D" w14:textId="5DF33C33" w:rsidR="00C66B96" w:rsidRPr="007E20B6" w:rsidRDefault="00C66B96" w:rsidP="00161865">
            <w:pPr>
              <w:adjustRightInd/>
              <w:spacing w:after="0" w:line="240" w:lineRule="auto"/>
              <w:ind w:right="0"/>
              <w:rPr>
                <w:rFonts w:eastAsia="Times New Roman"/>
                <w:b/>
                <w:bCs/>
                <w:color w:val="000000"/>
                <w:lang w:val="en-GB" w:eastAsia="de-DE"/>
              </w:rPr>
            </w:pPr>
            <w:r>
              <w:rPr>
                <w:rFonts w:eastAsia="Times New Roman"/>
                <w:color w:val="000000"/>
                <w:lang w:val="en-GB" w:eastAsia="de-DE"/>
              </w:rPr>
              <w:lastRenderedPageBreak/>
              <w:t xml:space="preserve">A description of all </w:t>
            </w:r>
            <w:r w:rsidRPr="00D26F39">
              <w:rPr>
                <w:rFonts w:eastAsia="Times New Roman"/>
                <w:color w:val="000000"/>
                <w:lang w:val="en-GB" w:eastAsia="de-DE"/>
              </w:rPr>
              <w:t>accessories / equipment that is required for use, but not provided with the device. Must also be mentioned in the IFU.</w:t>
            </w:r>
          </w:p>
        </w:tc>
        <w:tc>
          <w:tcPr>
            <w:tcW w:w="1014" w:type="dxa"/>
            <w:shd w:val="clear" w:color="000000" w:fill="FFFFFF"/>
            <w:noWrap/>
            <w:vAlign w:val="center"/>
          </w:tcPr>
          <w:p w14:paraId="3361CD2D"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A09020D" w14:textId="77777777" w:rsidR="006A5255" w:rsidRPr="004C3A94" w:rsidRDefault="006A5255"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3B216D6" w14:textId="77777777" w:rsidR="006A5255" w:rsidRPr="004C3A94" w:rsidRDefault="006A5255"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6A08A3B" w14:textId="102056E4" w:rsidR="006A5255" w:rsidRPr="004C3A94" w:rsidRDefault="006A5255" w:rsidP="00161865">
            <w:pPr>
              <w:adjustRightInd/>
              <w:spacing w:after="0" w:line="240" w:lineRule="auto"/>
              <w:ind w:right="0"/>
              <w:rPr>
                <w:rFonts w:eastAsia="Times New Roman" w:cs="Calibri"/>
                <w:color w:val="000000"/>
                <w:lang w:val="en-GB" w:eastAsia="de-DE"/>
              </w:rPr>
            </w:pPr>
          </w:p>
        </w:tc>
      </w:tr>
      <w:tr w:rsidR="00C57D72" w:rsidRPr="004B5366" w14:paraId="237D8FA8" w14:textId="77777777" w:rsidTr="00161865">
        <w:trPr>
          <w:trHeight w:val="561"/>
        </w:trPr>
        <w:tc>
          <w:tcPr>
            <w:tcW w:w="715" w:type="dxa"/>
            <w:shd w:val="clear" w:color="000000" w:fill="FFFFFF"/>
            <w:noWrap/>
            <w:vAlign w:val="center"/>
          </w:tcPr>
          <w:p w14:paraId="325D511B" w14:textId="09B9FFC1"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w:t>
            </w:r>
            <w:r>
              <w:rPr>
                <w:rFonts w:eastAsia="Times New Roman" w:cs="Calibri"/>
                <w:b/>
                <w:bCs/>
                <w:color w:val="000000"/>
                <w:lang w:val="en-GB" w:eastAsia="de-DE"/>
              </w:rPr>
              <w:t>1.10</w:t>
            </w:r>
          </w:p>
        </w:tc>
        <w:tc>
          <w:tcPr>
            <w:tcW w:w="4955" w:type="dxa"/>
            <w:shd w:val="clear" w:color="000000" w:fill="FFFFFF"/>
            <w:noWrap/>
            <w:vAlign w:val="center"/>
          </w:tcPr>
          <w:p w14:paraId="40FD46A9" w14:textId="22405856" w:rsidR="00C57D72" w:rsidRPr="00D26F39" w:rsidRDefault="00C57D72" w:rsidP="00161865">
            <w:pPr>
              <w:adjustRightInd/>
              <w:spacing w:after="0" w:line="240" w:lineRule="auto"/>
              <w:ind w:right="0"/>
              <w:rPr>
                <w:rFonts w:eastAsia="Times New Roman"/>
                <w:color w:val="000000"/>
                <w:lang w:val="en-GB" w:eastAsia="de-DE"/>
              </w:rPr>
            </w:pPr>
            <w:r w:rsidRPr="007E20B6">
              <w:rPr>
                <w:rFonts w:eastAsia="Times New Roman"/>
                <w:b/>
                <w:bCs/>
                <w:color w:val="000000"/>
                <w:lang w:val="en-GB" w:eastAsia="de-DE"/>
              </w:rPr>
              <w:t>Configurations and variants of the device</w:t>
            </w:r>
          </w:p>
        </w:tc>
        <w:tc>
          <w:tcPr>
            <w:tcW w:w="1014" w:type="dxa"/>
            <w:shd w:val="clear" w:color="000000" w:fill="FFFFFF"/>
            <w:noWrap/>
            <w:vAlign w:val="center"/>
          </w:tcPr>
          <w:p w14:paraId="4F8C90A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E96D0B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AD16866"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E9EF72F" w14:textId="77777777"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02D27131" w14:textId="77777777" w:rsidTr="00161865">
        <w:trPr>
          <w:trHeight w:val="561"/>
        </w:trPr>
        <w:tc>
          <w:tcPr>
            <w:tcW w:w="715" w:type="dxa"/>
            <w:shd w:val="clear" w:color="000000" w:fill="FFFFFF"/>
            <w:noWrap/>
            <w:vAlign w:val="center"/>
          </w:tcPr>
          <w:p w14:paraId="4422F196"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0B9ADDBD" w14:textId="6FCA1CD1" w:rsidR="00C57D72" w:rsidRPr="00D26F39" w:rsidRDefault="00C57D72" w:rsidP="00161865">
            <w:pPr>
              <w:adjustRightInd/>
              <w:spacing w:after="0" w:line="240" w:lineRule="auto"/>
              <w:ind w:right="0"/>
              <w:rPr>
                <w:rFonts w:eastAsia="Times New Roman"/>
                <w:color w:val="000000"/>
                <w:lang w:val="en-GB" w:eastAsia="de-DE"/>
              </w:rPr>
            </w:pPr>
            <w:r>
              <w:rPr>
                <w:rFonts w:eastAsia="Times New Roman"/>
                <w:color w:val="000000"/>
                <w:lang w:val="en-GB" w:eastAsia="de-DE"/>
              </w:rPr>
              <w:t>I</w:t>
            </w:r>
            <w:r w:rsidRPr="007E20B6">
              <w:rPr>
                <w:rFonts w:eastAsia="Times New Roman"/>
                <w:color w:val="000000"/>
                <w:lang w:val="en-GB" w:eastAsia="de-DE"/>
              </w:rPr>
              <w:t xml:space="preserve">f there are any configurations and variants of the device, this shall be laid down in the Technical Documentation, including any model numbers, names, constituents, </w:t>
            </w:r>
            <w:r w:rsidR="00C66B96">
              <w:rPr>
                <w:rFonts w:eastAsia="Times New Roman"/>
                <w:color w:val="000000"/>
                <w:lang w:val="en-GB" w:eastAsia="de-DE"/>
              </w:rPr>
              <w:t xml:space="preserve">packing units, </w:t>
            </w:r>
            <w:r w:rsidRPr="007E20B6">
              <w:rPr>
                <w:rFonts w:eastAsia="Times New Roman"/>
                <w:color w:val="000000"/>
                <w:lang w:val="en-GB" w:eastAsia="de-DE"/>
              </w:rPr>
              <w:t>sizes etc</w:t>
            </w:r>
          </w:p>
        </w:tc>
        <w:tc>
          <w:tcPr>
            <w:tcW w:w="1014" w:type="dxa"/>
            <w:shd w:val="clear" w:color="000000" w:fill="FFFFFF"/>
            <w:noWrap/>
            <w:vAlign w:val="center"/>
          </w:tcPr>
          <w:p w14:paraId="4F3951C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5025EDC"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6FE0088"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9671661" w14:textId="77777777" w:rsidR="00C57D72" w:rsidRPr="004C3A94" w:rsidRDefault="00C57D72" w:rsidP="00161865">
            <w:pPr>
              <w:adjustRightInd/>
              <w:spacing w:after="0" w:line="240" w:lineRule="auto"/>
              <w:ind w:right="0"/>
              <w:rPr>
                <w:rFonts w:eastAsia="Times New Roman" w:cs="Calibri"/>
                <w:color w:val="000000"/>
                <w:lang w:val="en-GB" w:eastAsia="de-DE"/>
              </w:rPr>
            </w:pPr>
          </w:p>
        </w:tc>
      </w:tr>
      <w:tr w:rsidR="00877C92" w:rsidRPr="004B5366" w14:paraId="61E89761" w14:textId="77777777" w:rsidTr="00161865">
        <w:trPr>
          <w:trHeight w:val="561"/>
        </w:trPr>
        <w:tc>
          <w:tcPr>
            <w:tcW w:w="715" w:type="dxa"/>
            <w:shd w:val="clear" w:color="auto" w:fill="EFF9FF"/>
            <w:noWrap/>
            <w:vAlign w:val="center"/>
          </w:tcPr>
          <w:p w14:paraId="3CFD2D07" w14:textId="00916ED0"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1.2</w:t>
            </w:r>
          </w:p>
        </w:tc>
        <w:tc>
          <w:tcPr>
            <w:tcW w:w="4955" w:type="dxa"/>
            <w:shd w:val="clear" w:color="auto" w:fill="EFF9FF"/>
            <w:noWrap/>
            <w:vAlign w:val="center"/>
          </w:tcPr>
          <w:p w14:paraId="57B530B2" w14:textId="45B7DD57" w:rsidR="00C57D72" w:rsidRPr="00877C92" w:rsidRDefault="00C57D72" w:rsidP="00161865">
            <w:pPr>
              <w:adjustRightInd/>
              <w:spacing w:after="0" w:line="240" w:lineRule="auto"/>
              <w:ind w:right="0"/>
              <w:rPr>
                <w:rFonts w:eastAsia="Times New Roman" w:cs="Calibri"/>
                <w:b/>
                <w:bCs/>
                <w:color w:val="000000"/>
                <w:lang w:val="en-GB" w:eastAsia="de-DE"/>
              </w:rPr>
            </w:pPr>
            <w:r w:rsidRPr="00877C92">
              <w:rPr>
                <w:rFonts w:eastAsia="Times New Roman" w:cs="Calibri"/>
                <w:b/>
                <w:bCs/>
                <w:color w:val="000000"/>
                <w:lang w:val="en-GB" w:eastAsia="de-DE"/>
              </w:rPr>
              <w:t>Reference to previous and similar Generations of the Device</w:t>
            </w:r>
          </w:p>
        </w:tc>
        <w:tc>
          <w:tcPr>
            <w:tcW w:w="1014" w:type="dxa"/>
            <w:shd w:val="clear" w:color="auto" w:fill="EFF9FF"/>
            <w:noWrap/>
            <w:vAlign w:val="center"/>
          </w:tcPr>
          <w:p w14:paraId="5D19FD9F" w14:textId="77777777" w:rsidR="00C57D72" w:rsidRPr="00877C92" w:rsidRDefault="00C57D72" w:rsidP="00161865">
            <w:pPr>
              <w:adjustRightInd/>
              <w:spacing w:after="0" w:line="240" w:lineRule="auto"/>
              <w:ind w:right="0"/>
              <w:jc w:val="center"/>
              <w:rPr>
                <w:rFonts w:eastAsia="Times New Roman" w:cs="Calibri"/>
                <w:b/>
                <w:bCs/>
                <w:color w:val="000000"/>
                <w:lang w:val="en-GB" w:eastAsia="de-DE"/>
              </w:rPr>
            </w:pPr>
          </w:p>
        </w:tc>
        <w:tc>
          <w:tcPr>
            <w:tcW w:w="971" w:type="dxa"/>
            <w:shd w:val="clear" w:color="auto" w:fill="EFF9FF"/>
            <w:noWrap/>
            <w:vAlign w:val="center"/>
          </w:tcPr>
          <w:p w14:paraId="49239840" w14:textId="77777777" w:rsidR="00C57D72" w:rsidRPr="00877C92" w:rsidRDefault="00C57D72" w:rsidP="00161865">
            <w:pPr>
              <w:adjustRightInd/>
              <w:spacing w:after="0" w:line="240" w:lineRule="auto"/>
              <w:ind w:right="0"/>
              <w:jc w:val="center"/>
              <w:rPr>
                <w:rFonts w:eastAsia="Times New Roman" w:cs="Calibri"/>
                <w:b/>
                <w:bCs/>
                <w:color w:val="000000"/>
                <w:lang w:val="en-GB" w:eastAsia="de-DE"/>
              </w:rPr>
            </w:pPr>
          </w:p>
        </w:tc>
        <w:tc>
          <w:tcPr>
            <w:tcW w:w="1984" w:type="dxa"/>
            <w:shd w:val="clear" w:color="auto" w:fill="EFF9FF"/>
            <w:vAlign w:val="center"/>
          </w:tcPr>
          <w:p w14:paraId="42D26096" w14:textId="77777777" w:rsidR="00C57D72" w:rsidRPr="00877C92" w:rsidRDefault="00C57D72" w:rsidP="00161865">
            <w:pPr>
              <w:adjustRightInd/>
              <w:spacing w:after="0" w:line="240" w:lineRule="auto"/>
              <w:ind w:right="0"/>
              <w:rPr>
                <w:rFonts w:eastAsia="Times New Roman" w:cs="Calibri"/>
                <w:b/>
                <w:bCs/>
                <w:color w:val="000000"/>
                <w:lang w:val="en-GB" w:eastAsia="de-DE"/>
              </w:rPr>
            </w:pPr>
          </w:p>
        </w:tc>
        <w:tc>
          <w:tcPr>
            <w:tcW w:w="4394" w:type="dxa"/>
            <w:shd w:val="clear" w:color="auto" w:fill="EFF9FF"/>
            <w:noWrap/>
            <w:vAlign w:val="center"/>
          </w:tcPr>
          <w:p w14:paraId="7594A0C5" w14:textId="3BE45D0C" w:rsidR="00C57D72" w:rsidRPr="00877C92" w:rsidRDefault="00C57D72" w:rsidP="00161865">
            <w:pPr>
              <w:adjustRightInd/>
              <w:spacing w:after="0" w:line="240" w:lineRule="auto"/>
              <w:ind w:right="0"/>
              <w:rPr>
                <w:rFonts w:eastAsia="Times New Roman" w:cs="Calibri"/>
                <w:b/>
                <w:bCs/>
                <w:color w:val="000000"/>
                <w:lang w:val="en-GB" w:eastAsia="de-DE"/>
              </w:rPr>
            </w:pPr>
          </w:p>
        </w:tc>
      </w:tr>
      <w:tr w:rsidR="00C57D72" w:rsidRPr="004B5366" w14:paraId="220C73EB" w14:textId="77777777" w:rsidTr="00161865">
        <w:trPr>
          <w:trHeight w:val="561"/>
        </w:trPr>
        <w:tc>
          <w:tcPr>
            <w:tcW w:w="715" w:type="dxa"/>
            <w:shd w:val="clear" w:color="000000" w:fill="FFFFFF"/>
            <w:noWrap/>
            <w:vAlign w:val="center"/>
          </w:tcPr>
          <w:p w14:paraId="566A6DBC"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6BB7E452" w14:textId="77777777" w:rsidR="00C57D72" w:rsidRPr="003835FA" w:rsidRDefault="00C57D72" w:rsidP="00161865">
            <w:pPr>
              <w:pStyle w:val="Listenabsatz"/>
              <w:numPr>
                <w:ilvl w:val="0"/>
                <w:numId w:val="15"/>
              </w:numPr>
              <w:adjustRightInd/>
              <w:spacing w:after="0" w:line="240" w:lineRule="auto"/>
              <w:ind w:right="0"/>
              <w:rPr>
                <w:rFonts w:eastAsia="Times New Roman"/>
                <w:b/>
                <w:bCs/>
                <w:color w:val="000000"/>
                <w:lang w:val="en-GB" w:eastAsia="de-DE"/>
              </w:rPr>
            </w:pPr>
            <w:r w:rsidRPr="003835FA">
              <w:rPr>
                <w:rFonts w:eastAsia="Times New Roman"/>
                <w:color w:val="000000"/>
                <w:lang w:val="en-GB" w:eastAsia="de-DE"/>
              </w:rPr>
              <w:t xml:space="preserve">An overview of the previous generation or generations of the device produced by the manufacturer, where such devices exist; </w:t>
            </w:r>
          </w:p>
          <w:p w14:paraId="4C00A07C" w14:textId="02074392" w:rsidR="00C57D72" w:rsidRPr="003835FA" w:rsidRDefault="00C57D72" w:rsidP="00161865">
            <w:pPr>
              <w:pStyle w:val="Listenabsatz"/>
              <w:numPr>
                <w:ilvl w:val="0"/>
                <w:numId w:val="15"/>
              </w:numPr>
              <w:adjustRightInd/>
              <w:spacing w:after="0" w:line="240" w:lineRule="auto"/>
              <w:ind w:right="0"/>
              <w:rPr>
                <w:rFonts w:eastAsia="Times New Roman"/>
                <w:b/>
                <w:bCs/>
                <w:color w:val="000000"/>
                <w:lang w:val="en-GB" w:eastAsia="de-DE"/>
              </w:rPr>
            </w:pPr>
            <w:r w:rsidRPr="003835FA">
              <w:rPr>
                <w:rFonts w:eastAsia="Times New Roman"/>
                <w:color w:val="000000"/>
                <w:lang w:val="en-GB" w:eastAsia="de-DE"/>
              </w:rPr>
              <w:t>An overview of identified similar devices available on the Union or international markets, where such devices exist.</w:t>
            </w:r>
          </w:p>
        </w:tc>
        <w:tc>
          <w:tcPr>
            <w:tcW w:w="1014" w:type="dxa"/>
            <w:shd w:val="clear" w:color="000000" w:fill="FFFFFF"/>
            <w:noWrap/>
            <w:vAlign w:val="center"/>
          </w:tcPr>
          <w:p w14:paraId="4F19910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2DEC86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F90DA3D"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7BA52EF" w14:textId="1BD0426C" w:rsidR="00C57D72" w:rsidRPr="004C3A94" w:rsidRDefault="00C57D72" w:rsidP="00161865">
            <w:pPr>
              <w:adjustRightInd/>
              <w:spacing w:after="0" w:line="240" w:lineRule="auto"/>
              <w:ind w:right="0"/>
              <w:rPr>
                <w:rFonts w:eastAsia="Times New Roman" w:cs="Calibri"/>
                <w:color w:val="000000"/>
                <w:lang w:val="en-GB" w:eastAsia="de-DE"/>
              </w:rPr>
            </w:pPr>
          </w:p>
        </w:tc>
      </w:tr>
      <w:tr w:rsidR="00A3223F" w:rsidRPr="004B5366" w14:paraId="51577D55" w14:textId="77777777" w:rsidTr="00161865">
        <w:trPr>
          <w:trHeight w:val="561"/>
        </w:trPr>
        <w:tc>
          <w:tcPr>
            <w:tcW w:w="715" w:type="dxa"/>
            <w:shd w:val="clear" w:color="auto" w:fill="EFF9FF"/>
            <w:noWrap/>
            <w:vAlign w:val="center"/>
          </w:tcPr>
          <w:p w14:paraId="54164416" w14:textId="6F8BB57D" w:rsidR="00A3223F" w:rsidRPr="00A0478D" w:rsidRDefault="00A3223F"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1.3</w:t>
            </w:r>
          </w:p>
        </w:tc>
        <w:tc>
          <w:tcPr>
            <w:tcW w:w="4955" w:type="dxa"/>
            <w:shd w:val="clear" w:color="auto" w:fill="EFF9FF"/>
            <w:noWrap/>
            <w:vAlign w:val="center"/>
          </w:tcPr>
          <w:p w14:paraId="7DD5D19B" w14:textId="0937C60C" w:rsidR="00A3223F" w:rsidRPr="006B5E7C" w:rsidRDefault="00A3223F" w:rsidP="00161865">
            <w:pPr>
              <w:adjustRightInd/>
              <w:spacing w:after="0" w:line="240" w:lineRule="auto"/>
              <w:ind w:right="0"/>
              <w:rPr>
                <w:rFonts w:eastAsia="Times New Roman"/>
                <w:b/>
                <w:bCs/>
                <w:color w:val="000000"/>
                <w:lang w:val="en-GB" w:eastAsia="de-DE"/>
              </w:rPr>
            </w:pPr>
            <w:r w:rsidRPr="006B5E7C">
              <w:rPr>
                <w:rFonts w:eastAsia="Times New Roman"/>
                <w:b/>
                <w:bCs/>
                <w:color w:val="000000"/>
                <w:lang w:val="en-GB" w:eastAsia="de-DE"/>
              </w:rPr>
              <w:t>Summary of safety and performance (SSP)</w:t>
            </w:r>
          </w:p>
          <w:p w14:paraId="753ED209" w14:textId="74E19EC4" w:rsidR="00A3223F" w:rsidRPr="00A3223F" w:rsidRDefault="00A3223F" w:rsidP="00161865">
            <w:pPr>
              <w:adjustRightInd/>
              <w:spacing w:after="0" w:line="240" w:lineRule="auto"/>
              <w:ind w:right="0"/>
              <w:rPr>
                <w:rFonts w:eastAsia="Times New Roman"/>
                <w:color w:val="000000"/>
                <w:lang w:val="en-GB" w:eastAsia="de-DE"/>
              </w:rPr>
            </w:pPr>
            <w:r w:rsidRPr="006B5E7C">
              <w:rPr>
                <w:rFonts w:eastAsia="Times New Roman"/>
                <w:b/>
                <w:bCs/>
                <w:color w:val="000000"/>
                <w:lang w:val="en-GB" w:eastAsia="de-DE"/>
              </w:rPr>
              <w:t>(</w:t>
            </w:r>
            <w:r w:rsidR="00877C92" w:rsidRPr="006B5E7C">
              <w:rPr>
                <w:rFonts w:eastAsia="Times New Roman"/>
                <w:b/>
                <w:bCs/>
                <w:color w:val="000000"/>
                <w:lang w:val="en-GB" w:eastAsia="de-DE"/>
              </w:rPr>
              <w:t>Only</w:t>
            </w:r>
            <w:r w:rsidRPr="006B5E7C">
              <w:rPr>
                <w:rFonts w:eastAsia="Times New Roman"/>
                <w:b/>
                <w:bCs/>
                <w:color w:val="000000"/>
                <w:lang w:val="en-GB" w:eastAsia="de-DE"/>
              </w:rPr>
              <w:t xml:space="preserve"> for class C and D devices)</w:t>
            </w:r>
            <w:r w:rsidR="005154B9">
              <w:rPr>
                <w:rFonts w:eastAsia="Times New Roman"/>
                <w:b/>
                <w:bCs/>
                <w:color w:val="000000"/>
                <w:lang w:val="en-GB" w:eastAsia="de-DE"/>
              </w:rPr>
              <w:br/>
            </w:r>
            <w:r w:rsidR="005154B9" w:rsidRPr="00FD36CC">
              <w:rPr>
                <w:rFonts w:eastAsia="Times New Roman" w:cs="Calibri"/>
                <w:color w:val="000000"/>
                <w:lang w:val="en-GB" w:eastAsia="de-DE"/>
              </w:rPr>
              <w:t>(Regulation (EU) 2017/746 (IVDR), Article 29)</w:t>
            </w:r>
          </w:p>
        </w:tc>
        <w:tc>
          <w:tcPr>
            <w:tcW w:w="1014" w:type="dxa"/>
            <w:shd w:val="clear" w:color="auto" w:fill="EFF9FF"/>
            <w:noWrap/>
            <w:vAlign w:val="center"/>
          </w:tcPr>
          <w:p w14:paraId="060C9F81" w14:textId="77777777" w:rsidR="00A3223F" w:rsidRPr="004C3A94" w:rsidRDefault="00A3223F"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2D4FD1A2" w14:textId="77777777" w:rsidR="00A3223F" w:rsidRPr="004C3A94" w:rsidRDefault="00A3223F"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6A2A0F69" w14:textId="77777777" w:rsidR="00A3223F" w:rsidRPr="004C3A94" w:rsidRDefault="00A3223F"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6A9E2DFF" w14:textId="77777777" w:rsidR="00A3223F" w:rsidRPr="004C3A94" w:rsidRDefault="00A3223F" w:rsidP="00161865">
            <w:pPr>
              <w:adjustRightInd/>
              <w:spacing w:after="0" w:line="240" w:lineRule="auto"/>
              <w:ind w:right="0"/>
              <w:rPr>
                <w:rFonts w:eastAsia="Times New Roman" w:cs="Calibri"/>
                <w:color w:val="000000"/>
                <w:lang w:val="en-GB" w:eastAsia="de-DE"/>
              </w:rPr>
            </w:pPr>
          </w:p>
        </w:tc>
      </w:tr>
      <w:tr w:rsidR="00A3223F" w:rsidRPr="004B5366" w14:paraId="41C7DC0B" w14:textId="77777777" w:rsidTr="00161865">
        <w:trPr>
          <w:trHeight w:val="561"/>
        </w:trPr>
        <w:tc>
          <w:tcPr>
            <w:tcW w:w="715" w:type="dxa"/>
            <w:shd w:val="clear" w:color="000000" w:fill="FFFFFF"/>
            <w:noWrap/>
            <w:vAlign w:val="center"/>
          </w:tcPr>
          <w:p w14:paraId="7D2ECB4F" w14:textId="77777777" w:rsidR="00A3223F" w:rsidRPr="00A0478D" w:rsidRDefault="00A3223F"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08B30C7A" w14:textId="77777777" w:rsidR="00A3223F" w:rsidRDefault="006B5E7C" w:rsidP="00161865">
            <w:pPr>
              <w:adjustRightInd/>
              <w:spacing w:after="0" w:line="240" w:lineRule="auto"/>
              <w:ind w:right="0"/>
              <w:rPr>
                <w:rFonts w:eastAsia="Times New Roman"/>
                <w:color w:val="000000"/>
                <w:lang w:val="en-GB" w:eastAsia="de-DE"/>
              </w:rPr>
            </w:pPr>
            <w:r w:rsidRPr="006B5E7C">
              <w:rPr>
                <w:rFonts w:eastAsia="Times New Roman"/>
                <w:color w:val="000000"/>
                <w:lang w:val="en-GB" w:eastAsia="de-DE"/>
              </w:rPr>
              <w:t>Draft or summary report according to Article 29 IVDR (SSP</w:t>
            </w:r>
            <w:r>
              <w:rPr>
                <w:rFonts w:eastAsia="Times New Roman"/>
                <w:color w:val="000000"/>
                <w:lang w:val="en-GB" w:eastAsia="de-DE"/>
              </w:rPr>
              <w:t>)</w:t>
            </w:r>
            <w:r w:rsidRPr="006B5E7C">
              <w:rPr>
                <w:rFonts w:eastAsia="Times New Roman"/>
                <w:color w:val="000000"/>
                <w:lang w:val="en-GB" w:eastAsia="de-DE"/>
              </w:rPr>
              <w:t xml:space="preserve"> safety and performance for class C and D devices, except devices for performance studies.</w:t>
            </w:r>
          </w:p>
          <w:p w14:paraId="06F9A077" w14:textId="77777777" w:rsidR="005154B9" w:rsidRDefault="005154B9" w:rsidP="00161865">
            <w:pPr>
              <w:adjustRightInd/>
              <w:spacing w:after="0" w:line="240" w:lineRule="auto"/>
              <w:ind w:right="0"/>
              <w:rPr>
                <w:rFonts w:eastAsia="Times New Roman"/>
                <w:color w:val="000000"/>
                <w:lang w:val="en-GB" w:eastAsia="de-DE"/>
              </w:rPr>
            </w:pPr>
          </w:p>
          <w:p w14:paraId="7F2B4131" w14:textId="356F87F4" w:rsidR="005154B9" w:rsidRPr="005154B9" w:rsidRDefault="005154B9" w:rsidP="00161865">
            <w:pPr>
              <w:adjustRightInd/>
              <w:spacing w:after="0" w:line="240" w:lineRule="auto"/>
              <w:ind w:right="0"/>
              <w:rPr>
                <w:rFonts w:eastAsia="Times New Roman"/>
                <w:color w:val="000000"/>
                <w:lang w:val="en-GB" w:eastAsia="de-DE"/>
              </w:rPr>
            </w:pPr>
            <w:r>
              <w:rPr>
                <w:rFonts w:eastAsia="Times New Roman"/>
                <w:color w:val="000000"/>
                <w:lang w:val="en-GB" w:eastAsia="de-DE"/>
              </w:rPr>
              <w:t>The SSP should</w:t>
            </w:r>
            <w:r w:rsidRPr="005154B9">
              <w:rPr>
                <w:rFonts w:eastAsia="Times New Roman"/>
                <w:color w:val="000000"/>
                <w:lang w:val="en-GB" w:eastAsia="de-DE"/>
              </w:rPr>
              <w:t>:</w:t>
            </w:r>
          </w:p>
          <w:p w14:paraId="671EE81C" w14:textId="77777777" w:rsid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t>be written in an understandable language for the intended target group.</w:t>
            </w:r>
          </w:p>
          <w:p w14:paraId="18A8572F" w14:textId="77777777" w:rsid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lastRenderedPageBreak/>
              <w:t>include the identification of the device, including the basic UDI DI and the single registration number.</w:t>
            </w:r>
          </w:p>
          <w:p w14:paraId="75A82EBB" w14:textId="77777777" w:rsid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t>include the intended purpose of the device and any indications, contra-indications and target populations.</w:t>
            </w:r>
          </w:p>
          <w:p w14:paraId="47E3A16C" w14:textId="5015B504" w:rsidR="005154B9" w:rsidRP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t>include a description of the device, as well as a description of the accessories, other medical devices and combination with other devices, and a reference to previous generation(s) or variants.</w:t>
            </w:r>
          </w:p>
          <w:p w14:paraId="02B48D58" w14:textId="219C5AA6" w:rsidR="005154B9" w:rsidRP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t>include the summary of the performance evaluation report and relevant information on the post-market production follow up.</w:t>
            </w:r>
          </w:p>
          <w:p w14:paraId="639F2C07" w14:textId="09D20912" w:rsidR="005154B9" w:rsidRP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t>include references to harmonised standards and common (technical) specifications.</w:t>
            </w:r>
          </w:p>
          <w:p w14:paraId="6C68F830" w14:textId="020DC357" w:rsidR="005154B9" w:rsidRP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t>include metrological traceability of assigned values.</w:t>
            </w:r>
          </w:p>
          <w:p w14:paraId="12062CA5" w14:textId="772D258C" w:rsidR="005154B9" w:rsidRP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t>include suggested profile and training for users.</w:t>
            </w:r>
          </w:p>
          <w:p w14:paraId="38E12CE6" w14:textId="77777777" w:rsidR="005154B9" w:rsidRDefault="005154B9" w:rsidP="00161865">
            <w:pPr>
              <w:pStyle w:val="Listenabsatz"/>
              <w:numPr>
                <w:ilvl w:val="0"/>
                <w:numId w:val="23"/>
              </w:numPr>
              <w:adjustRightInd/>
              <w:spacing w:after="0" w:line="240" w:lineRule="auto"/>
              <w:ind w:right="0"/>
              <w:rPr>
                <w:rFonts w:eastAsia="Times New Roman"/>
                <w:color w:val="000000"/>
                <w:lang w:val="en-GB" w:eastAsia="de-DE"/>
              </w:rPr>
            </w:pPr>
            <w:r w:rsidRPr="005154B9">
              <w:rPr>
                <w:rFonts w:eastAsia="Times New Roman"/>
                <w:color w:val="000000"/>
                <w:lang w:val="en-GB" w:eastAsia="de-DE"/>
              </w:rPr>
              <w:t>include information on any residual risks and any undesirable effects, warnings and precautions.</w:t>
            </w:r>
          </w:p>
          <w:p w14:paraId="073AA1E5" w14:textId="59B2BBF3" w:rsidR="005154B9" w:rsidRPr="006B5E7C" w:rsidRDefault="005154B9" w:rsidP="00161865">
            <w:pPr>
              <w:pStyle w:val="Listenabsatz"/>
              <w:numPr>
                <w:ilvl w:val="0"/>
                <w:numId w:val="0"/>
              </w:numPr>
              <w:adjustRightInd/>
              <w:spacing w:after="0" w:line="240" w:lineRule="auto"/>
              <w:ind w:left="360" w:right="0"/>
              <w:rPr>
                <w:rFonts w:eastAsia="Times New Roman"/>
                <w:color w:val="000000"/>
                <w:lang w:val="en-GB" w:eastAsia="de-DE"/>
              </w:rPr>
            </w:pPr>
          </w:p>
        </w:tc>
        <w:tc>
          <w:tcPr>
            <w:tcW w:w="1014" w:type="dxa"/>
            <w:shd w:val="clear" w:color="000000" w:fill="FFFFFF"/>
            <w:noWrap/>
            <w:vAlign w:val="center"/>
          </w:tcPr>
          <w:p w14:paraId="6F617BF8" w14:textId="77777777" w:rsidR="00A3223F" w:rsidRPr="004C3A94" w:rsidRDefault="00A3223F"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9DDD8A0" w14:textId="77777777" w:rsidR="00A3223F" w:rsidRPr="004C3A94" w:rsidRDefault="00A3223F"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ECC2B99" w14:textId="77777777" w:rsidR="00A3223F" w:rsidRPr="004C3A94" w:rsidRDefault="00A3223F"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19B14C46" w14:textId="77777777" w:rsidR="00A3223F" w:rsidRPr="004C3A94" w:rsidRDefault="00A3223F" w:rsidP="00161865">
            <w:pPr>
              <w:adjustRightInd/>
              <w:spacing w:after="0" w:line="240" w:lineRule="auto"/>
              <w:ind w:right="0"/>
              <w:rPr>
                <w:rFonts w:eastAsia="Times New Roman" w:cs="Calibri"/>
                <w:color w:val="000000"/>
                <w:lang w:val="en-GB" w:eastAsia="de-DE"/>
              </w:rPr>
            </w:pPr>
          </w:p>
        </w:tc>
      </w:tr>
      <w:tr w:rsidR="00C57D72" w:rsidRPr="004B5366" w14:paraId="4A3200BF" w14:textId="77777777" w:rsidTr="00161865">
        <w:trPr>
          <w:trHeight w:val="561"/>
        </w:trPr>
        <w:tc>
          <w:tcPr>
            <w:tcW w:w="715" w:type="dxa"/>
            <w:shd w:val="clear" w:color="auto" w:fill="CCECFF"/>
            <w:noWrap/>
            <w:vAlign w:val="center"/>
          </w:tcPr>
          <w:p w14:paraId="63570B4D" w14:textId="11FD8A1D"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 xml:space="preserve">2. </w:t>
            </w:r>
          </w:p>
        </w:tc>
        <w:tc>
          <w:tcPr>
            <w:tcW w:w="13318" w:type="dxa"/>
            <w:gridSpan w:val="5"/>
            <w:shd w:val="clear" w:color="auto" w:fill="CCECFF"/>
            <w:vAlign w:val="center"/>
          </w:tcPr>
          <w:p w14:paraId="53C43E12" w14:textId="6A3B94FF" w:rsidR="00C57D72" w:rsidRPr="00BC7A1F" w:rsidRDefault="00C57D72" w:rsidP="00161865">
            <w:pPr>
              <w:adjustRightInd/>
              <w:spacing w:after="0" w:line="240" w:lineRule="auto"/>
              <w:ind w:right="0"/>
              <w:rPr>
                <w:rStyle w:val="Fett"/>
                <w:lang w:val="en-GB" w:eastAsia="de-DE"/>
              </w:rPr>
            </w:pPr>
            <w:r w:rsidRPr="00BC7A1F">
              <w:rPr>
                <w:rStyle w:val="Fett"/>
                <w:lang w:val="en-GB" w:eastAsia="de-DE"/>
              </w:rPr>
              <w:t>Information supplied by the manufacturer</w:t>
            </w:r>
          </w:p>
          <w:p w14:paraId="696B0880" w14:textId="2A8E09D7" w:rsidR="00C57D72" w:rsidRPr="00C43FDB" w:rsidRDefault="00C57D72" w:rsidP="00161865">
            <w:pPr>
              <w:adjustRightInd/>
              <w:spacing w:after="0" w:line="240" w:lineRule="auto"/>
              <w:ind w:right="0"/>
              <w:rPr>
                <w:rStyle w:val="Fett"/>
                <w:b w:val="0"/>
                <w:lang w:val="en-GB" w:eastAsia="de-DE"/>
              </w:rPr>
            </w:pPr>
            <w:r w:rsidRPr="00C43FDB">
              <w:rPr>
                <w:rStyle w:val="Fett"/>
                <w:b w:val="0"/>
                <w:lang w:val="en-GB" w:eastAsia="de-DE"/>
              </w:rPr>
              <w:t>(Regulation (EU) 2017/746 (IVDR), Annex II Section 2)</w:t>
            </w:r>
          </w:p>
        </w:tc>
      </w:tr>
      <w:tr w:rsidR="00C57D72" w:rsidRPr="004B5366" w14:paraId="09D9359D" w14:textId="77777777" w:rsidTr="00161865">
        <w:trPr>
          <w:trHeight w:val="561"/>
        </w:trPr>
        <w:tc>
          <w:tcPr>
            <w:tcW w:w="715" w:type="dxa"/>
            <w:shd w:val="clear" w:color="000000" w:fill="FFFFFF"/>
            <w:noWrap/>
            <w:vAlign w:val="center"/>
          </w:tcPr>
          <w:p w14:paraId="79ED9291"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43642FCC" w14:textId="77777777" w:rsidR="006B5E7C" w:rsidRDefault="006B5E7C" w:rsidP="00161865">
            <w:pPr>
              <w:pStyle w:val="Listenabsatz"/>
              <w:numPr>
                <w:ilvl w:val="0"/>
                <w:numId w:val="16"/>
              </w:numPr>
              <w:adjustRightInd/>
              <w:spacing w:after="0" w:line="240" w:lineRule="auto"/>
              <w:ind w:right="0"/>
              <w:rPr>
                <w:rFonts w:eastAsia="Times New Roman"/>
                <w:color w:val="000000"/>
                <w:lang w:val="en-GB" w:eastAsia="de-DE"/>
              </w:rPr>
            </w:pPr>
            <w:r>
              <w:rPr>
                <w:rFonts w:eastAsia="Times New Roman"/>
                <w:color w:val="000000"/>
                <w:lang w:val="en-GB" w:eastAsia="de-DE"/>
              </w:rPr>
              <w:t>A complete set of t</w:t>
            </w:r>
            <w:r w:rsidR="00C57D72" w:rsidRPr="006B5E7C">
              <w:rPr>
                <w:rFonts w:eastAsia="Times New Roman"/>
                <w:color w:val="000000"/>
                <w:lang w:val="en-GB" w:eastAsia="de-DE"/>
              </w:rPr>
              <w:t xml:space="preserve">he label or labels on the device and on its packaging, such as single unit packaging, sales packaging, transport packaging in the case of specific management conditions, in the languages accepted in the Member States where the device is envisaged to be sold; </w:t>
            </w:r>
          </w:p>
          <w:p w14:paraId="2A1CABB4" w14:textId="119AA9FE" w:rsidR="00C57D72" w:rsidRPr="006B5E7C" w:rsidRDefault="006B5E7C" w:rsidP="00161865">
            <w:pPr>
              <w:pStyle w:val="Listenabsatz"/>
              <w:numPr>
                <w:ilvl w:val="0"/>
                <w:numId w:val="16"/>
              </w:numPr>
              <w:adjustRightInd/>
              <w:spacing w:after="0" w:line="240" w:lineRule="auto"/>
              <w:ind w:right="0"/>
              <w:rPr>
                <w:rFonts w:eastAsia="Times New Roman"/>
                <w:color w:val="000000"/>
                <w:lang w:val="en-GB" w:eastAsia="de-DE"/>
              </w:rPr>
            </w:pPr>
            <w:r>
              <w:rPr>
                <w:rFonts w:eastAsia="Times New Roman"/>
                <w:color w:val="000000"/>
                <w:lang w:val="en-GB" w:eastAsia="de-DE"/>
              </w:rPr>
              <w:t xml:space="preserve">A complete set of the </w:t>
            </w:r>
            <w:r w:rsidR="00C57D72" w:rsidRPr="006B5E7C">
              <w:rPr>
                <w:rFonts w:eastAsia="Times New Roman"/>
                <w:color w:val="000000"/>
                <w:lang w:val="en-GB" w:eastAsia="de-DE"/>
              </w:rPr>
              <w:t>instructions for use in the languages accepted in the Member States where the device is envisaged to be sold.</w:t>
            </w:r>
          </w:p>
        </w:tc>
        <w:tc>
          <w:tcPr>
            <w:tcW w:w="1014" w:type="dxa"/>
            <w:shd w:val="clear" w:color="000000" w:fill="FFFFFF"/>
            <w:noWrap/>
            <w:vAlign w:val="center"/>
          </w:tcPr>
          <w:p w14:paraId="28F3E8F1"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303C232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569F61B"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0E1D01C2" w14:textId="259B6477"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45F3A2D2" w14:textId="77777777" w:rsidTr="00161865">
        <w:trPr>
          <w:trHeight w:val="561"/>
        </w:trPr>
        <w:tc>
          <w:tcPr>
            <w:tcW w:w="715" w:type="dxa"/>
            <w:shd w:val="clear" w:color="auto" w:fill="CCECFF"/>
            <w:noWrap/>
            <w:vAlign w:val="center"/>
          </w:tcPr>
          <w:p w14:paraId="0E5DD6BA" w14:textId="21C6836B"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lastRenderedPageBreak/>
              <w:t>3.</w:t>
            </w:r>
          </w:p>
        </w:tc>
        <w:tc>
          <w:tcPr>
            <w:tcW w:w="13318" w:type="dxa"/>
            <w:gridSpan w:val="5"/>
            <w:shd w:val="clear" w:color="auto" w:fill="CCECFF"/>
            <w:vAlign w:val="center"/>
          </w:tcPr>
          <w:p w14:paraId="348409E7" w14:textId="5D135195" w:rsidR="00C57D72" w:rsidRPr="00C43FDB" w:rsidRDefault="00C57D72" w:rsidP="00161865">
            <w:pPr>
              <w:adjustRightInd/>
              <w:spacing w:after="0" w:line="240" w:lineRule="auto"/>
              <w:ind w:right="0"/>
              <w:rPr>
                <w:rStyle w:val="Fett"/>
                <w:bCs w:val="0"/>
                <w:lang w:val="en-GB" w:eastAsia="de-DE"/>
              </w:rPr>
            </w:pPr>
            <w:r w:rsidRPr="00C43FDB">
              <w:rPr>
                <w:rStyle w:val="Fett"/>
                <w:bCs w:val="0"/>
                <w:lang w:val="en-GB" w:eastAsia="de-DE"/>
              </w:rPr>
              <w:t>Design and manufacturing information</w:t>
            </w:r>
          </w:p>
          <w:p w14:paraId="4A309C93" w14:textId="487CA54E" w:rsidR="00C57D72" w:rsidRPr="00C43FDB" w:rsidRDefault="00C57D72" w:rsidP="00161865">
            <w:pPr>
              <w:adjustRightInd/>
              <w:spacing w:after="0" w:line="240" w:lineRule="auto"/>
              <w:ind w:right="0"/>
              <w:rPr>
                <w:rStyle w:val="Fett"/>
                <w:b w:val="0"/>
                <w:lang w:val="en-GB"/>
              </w:rPr>
            </w:pPr>
            <w:r w:rsidRPr="00C43FDB">
              <w:rPr>
                <w:rStyle w:val="Fett"/>
                <w:b w:val="0"/>
                <w:lang w:val="en-GB" w:eastAsia="de-DE"/>
              </w:rPr>
              <w:t>(Regulation (EU) 2017/746 (IVDR), Annex II Section 3)</w:t>
            </w:r>
          </w:p>
        </w:tc>
      </w:tr>
      <w:tr w:rsidR="00C57D72" w:rsidRPr="00AF7A73" w14:paraId="0FA44105" w14:textId="77777777" w:rsidTr="00161865">
        <w:trPr>
          <w:trHeight w:val="561"/>
        </w:trPr>
        <w:tc>
          <w:tcPr>
            <w:tcW w:w="715" w:type="dxa"/>
            <w:shd w:val="clear" w:color="auto" w:fill="EFF9FF"/>
            <w:noWrap/>
            <w:vAlign w:val="center"/>
          </w:tcPr>
          <w:p w14:paraId="08DFACA7" w14:textId="679FEB23"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3.1</w:t>
            </w:r>
          </w:p>
        </w:tc>
        <w:tc>
          <w:tcPr>
            <w:tcW w:w="4955" w:type="dxa"/>
            <w:shd w:val="clear" w:color="auto" w:fill="EFF9FF"/>
            <w:noWrap/>
            <w:vAlign w:val="center"/>
          </w:tcPr>
          <w:p w14:paraId="07EF3014" w14:textId="758EB686" w:rsidR="00C57D72" w:rsidRPr="007E20B6" w:rsidRDefault="00C57D72" w:rsidP="00161865">
            <w:pPr>
              <w:adjustRightInd/>
              <w:spacing w:after="0" w:line="240" w:lineRule="auto"/>
              <w:ind w:right="0"/>
              <w:rPr>
                <w:rFonts w:eastAsia="Times New Roman"/>
                <w:b/>
                <w:bCs/>
                <w:color w:val="000000"/>
                <w:lang w:val="en-GB" w:eastAsia="de-DE"/>
              </w:rPr>
            </w:pPr>
            <w:r w:rsidRPr="007B71AD">
              <w:rPr>
                <w:rFonts w:eastAsia="Times New Roman"/>
                <w:b/>
                <w:bCs/>
                <w:color w:val="000000"/>
                <w:lang w:val="en-GB" w:eastAsia="de-DE"/>
              </w:rPr>
              <w:t>Design Information</w:t>
            </w:r>
          </w:p>
        </w:tc>
        <w:tc>
          <w:tcPr>
            <w:tcW w:w="1014" w:type="dxa"/>
            <w:shd w:val="clear" w:color="auto" w:fill="EFF9FF"/>
            <w:noWrap/>
            <w:vAlign w:val="center"/>
          </w:tcPr>
          <w:p w14:paraId="7E142596"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65F2DFC7"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23AB838F"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317FD1E6" w14:textId="78E927DF"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3ACDFC04" w14:textId="77777777" w:rsidTr="00161865">
        <w:trPr>
          <w:trHeight w:val="561"/>
        </w:trPr>
        <w:tc>
          <w:tcPr>
            <w:tcW w:w="715" w:type="dxa"/>
            <w:shd w:val="clear" w:color="000000" w:fill="FFFFFF"/>
            <w:noWrap/>
            <w:vAlign w:val="center"/>
          </w:tcPr>
          <w:p w14:paraId="4E24DF68"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0E982764" w14:textId="48D9EDD7" w:rsidR="00D93CBE" w:rsidRDefault="00C57D72" w:rsidP="00161865">
            <w:pPr>
              <w:pStyle w:val="Listenabsatz"/>
              <w:numPr>
                <w:ilvl w:val="0"/>
                <w:numId w:val="17"/>
              </w:numPr>
              <w:adjustRightInd/>
              <w:spacing w:after="0" w:line="240" w:lineRule="auto"/>
              <w:ind w:right="0"/>
              <w:rPr>
                <w:rFonts w:eastAsia="Times New Roman"/>
                <w:color w:val="000000"/>
                <w:lang w:val="en-GB" w:eastAsia="de-DE"/>
              </w:rPr>
            </w:pPr>
            <w:r w:rsidRPr="00D93CBE">
              <w:rPr>
                <w:rFonts w:eastAsia="Times New Roman"/>
                <w:color w:val="000000"/>
                <w:lang w:val="en-GB" w:eastAsia="de-DE"/>
              </w:rPr>
              <w:t>Information to allow the design stages applied to the device to be understood</w:t>
            </w:r>
            <w:r w:rsidR="00D93CBE">
              <w:rPr>
                <w:rFonts w:eastAsia="Times New Roman"/>
                <w:color w:val="000000"/>
                <w:lang w:val="en-GB" w:eastAsia="de-DE"/>
              </w:rPr>
              <w:t>:</w:t>
            </w:r>
          </w:p>
          <w:p w14:paraId="6B8631B0" w14:textId="634CDFA0" w:rsidR="00D93CBE" w:rsidRDefault="00D93CBE" w:rsidP="00161865">
            <w:pPr>
              <w:pStyle w:val="Listenabsatz"/>
              <w:numPr>
                <w:ilvl w:val="1"/>
                <w:numId w:val="17"/>
              </w:numPr>
              <w:adjustRightInd/>
              <w:spacing w:after="0" w:line="240" w:lineRule="auto"/>
              <w:ind w:right="0"/>
              <w:rPr>
                <w:rFonts w:eastAsia="Times New Roman"/>
                <w:color w:val="000000"/>
                <w:lang w:val="en-GB" w:eastAsia="de-DE"/>
              </w:rPr>
            </w:pPr>
            <w:r w:rsidRPr="00D93CBE">
              <w:rPr>
                <w:rFonts w:eastAsia="Times New Roman"/>
                <w:color w:val="000000"/>
                <w:lang w:val="en-GB" w:eastAsia="de-DE"/>
              </w:rPr>
              <w:t>a description of the critical ingredients of the device such as antibodies, antigens, enzymes and nucleic acid primers provided or recommended for use with the device;</w:t>
            </w:r>
          </w:p>
          <w:p w14:paraId="172BE8A6" w14:textId="766CF0A1" w:rsidR="00D93CBE" w:rsidRDefault="00D93CBE" w:rsidP="00161865">
            <w:pPr>
              <w:pStyle w:val="Listenabsatz"/>
              <w:numPr>
                <w:ilvl w:val="1"/>
                <w:numId w:val="17"/>
              </w:numPr>
              <w:adjustRightInd/>
              <w:spacing w:after="0" w:line="240" w:lineRule="auto"/>
              <w:ind w:right="0"/>
              <w:rPr>
                <w:rFonts w:eastAsia="Times New Roman"/>
                <w:color w:val="000000"/>
                <w:lang w:val="en-GB" w:eastAsia="de-DE"/>
              </w:rPr>
            </w:pPr>
            <w:r w:rsidRPr="00D93CBE">
              <w:rPr>
                <w:rFonts w:eastAsia="Times New Roman"/>
                <w:color w:val="000000"/>
                <w:lang w:val="en-GB" w:eastAsia="de-DE"/>
              </w:rPr>
              <w:t>for instruments, a description of major subsystems, analytical technology such as operating principles and control mechanisms, dedicated computer hardware and software;</w:t>
            </w:r>
          </w:p>
          <w:p w14:paraId="4C5859FB" w14:textId="377F444F" w:rsidR="00D93CBE" w:rsidRDefault="00D93CBE" w:rsidP="00161865">
            <w:pPr>
              <w:pStyle w:val="Listenabsatz"/>
              <w:numPr>
                <w:ilvl w:val="1"/>
                <w:numId w:val="17"/>
              </w:numPr>
              <w:adjustRightInd/>
              <w:spacing w:after="0" w:line="240" w:lineRule="auto"/>
              <w:ind w:right="0"/>
              <w:rPr>
                <w:rFonts w:eastAsia="Times New Roman"/>
                <w:color w:val="000000"/>
                <w:lang w:val="en-GB" w:eastAsia="de-DE"/>
              </w:rPr>
            </w:pPr>
            <w:r w:rsidRPr="00D93CBE">
              <w:rPr>
                <w:rFonts w:eastAsia="Times New Roman"/>
                <w:color w:val="000000"/>
                <w:lang w:val="en-GB" w:eastAsia="de-DE"/>
              </w:rPr>
              <w:t>for instruments and software, an overview of the entire system;</w:t>
            </w:r>
          </w:p>
          <w:p w14:paraId="286C6943" w14:textId="5C49C849" w:rsidR="00D93CBE" w:rsidRDefault="00D93CBE" w:rsidP="00161865">
            <w:pPr>
              <w:pStyle w:val="Listenabsatz"/>
              <w:numPr>
                <w:ilvl w:val="1"/>
                <w:numId w:val="17"/>
              </w:numPr>
              <w:adjustRightInd/>
              <w:spacing w:after="0" w:line="240" w:lineRule="auto"/>
              <w:ind w:right="0"/>
              <w:rPr>
                <w:rFonts w:eastAsia="Times New Roman"/>
                <w:color w:val="000000"/>
                <w:lang w:val="en-GB" w:eastAsia="de-DE"/>
              </w:rPr>
            </w:pPr>
            <w:r w:rsidRPr="00D93CBE">
              <w:rPr>
                <w:rFonts w:eastAsia="Times New Roman"/>
                <w:color w:val="000000"/>
                <w:lang w:val="en-GB" w:eastAsia="de-DE"/>
              </w:rPr>
              <w:t>for software, a description of the data interpretation methodology, namely the algorithm;</w:t>
            </w:r>
          </w:p>
          <w:p w14:paraId="15956FE4" w14:textId="5F541059" w:rsidR="00D93CBE" w:rsidRDefault="00D93CBE" w:rsidP="00161865">
            <w:pPr>
              <w:pStyle w:val="Listenabsatz"/>
              <w:numPr>
                <w:ilvl w:val="1"/>
                <w:numId w:val="17"/>
              </w:numPr>
              <w:adjustRightInd/>
              <w:spacing w:after="0" w:line="240" w:lineRule="auto"/>
              <w:ind w:right="0"/>
              <w:rPr>
                <w:rFonts w:eastAsia="Times New Roman"/>
                <w:color w:val="000000"/>
                <w:lang w:val="en-GB" w:eastAsia="de-DE"/>
              </w:rPr>
            </w:pPr>
            <w:r w:rsidRPr="00D93CBE">
              <w:rPr>
                <w:rFonts w:eastAsia="Times New Roman"/>
                <w:color w:val="000000"/>
                <w:lang w:val="en-GB" w:eastAsia="de-DE"/>
              </w:rPr>
              <w:t>for devices intended for self-testing or near-patient testing, a description of the design aspects that make them suitable for self-testing or near-patient testing.</w:t>
            </w:r>
          </w:p>
          <w:p w14:paraId="0103D026" w14:textId="77777777" w:rsidR="00D93CBE" w:rsidRPr="00D93CBE" w:rsidRDefault="00C57D72" w:rsidP="00161865">
            <w:pPr>
              <w:pStyle w:val="Listenabsatz"/>
              <w:numPr>
                <w:ilvl w:val="0"/>
                <w:numId w:val="17"/>
              </w:numPr>
              <w:adjustRightInd/>
              <w:spacing w:after="0" w:line="240" w:lineRule="auto"/>
              <w:ind w:right="0"/>
              <w:rPr>
                <w:rFonts w:eastAsia="Times New Roman"/>
                <w:b/>
                <w:bCs/>
                <w:color w:val="000000"/>
                <w:lang w:val="en-GB" w:eastAsia="de-DE"/>
              </w:rPr>
            </w:pPr>
            <w:r w:rsidRPr="00D93CBE">
              <w:rPr>
                <w:rFonts w:eastAsia="Times New Roman"/>
                <w:color w:val="000000"/>
                <w:lang w:val="en-GB" w:eastAsia="de-DE"/>
              </w:rPr>
              <w:t>Information on the specific design stages, the techniques that are used to control, monitor and verify the design of the device during these stages.</w:t>
            </w:r>
          </w:p>
          <w:p w14:paraId="757B5D8C" w14:textId="18C0AF92" w:rsidR="00D93CBE" w:rsidRPr="00D93CBE" w:rsidRDefault="00C57D72" w:rsidP="00161865">
            <w:pPr>
              <w:pStyle w:val="Listenabsatz"/>
              <w:numPr>
                <w:ilvl w:val="0"/>
                <w:numId w:val="17"/>
              </w:numPr>
              <w:adjustRightInd/>
              <w:spacing w:after="0" w:line="240" w:lineRule="auto"/>
              <w:ind w:right="0"/>
              <w:rPr>
                <w:rFonts w:eastAsia="Times New Roman"/>
                <w:b/>
                <w:bCs/>
                <w:color w:val="000000"/>
                <w:lang w:val="en-GB" w:eastAsia="de-DE"/>
              </w:rPr>
            </w:pPr>
            <w:r w:rsidRPr="007B71AD">
              <w:rPr>
                <w:rFonts w:eastAsia="Times New Roman"/>
                <w:color w:val="000000"/>
                <w:lang w:val="en-GB" w:eastAsia="de-DE"/>
              </w:rPr>
              <w:lastRenderedPageBreak/>
              <w:t xml:space="preserve">A summary on the design process with reference to the applied implemented documented procedure(s) and versions date shall be included. </w:t>
            </w:r>
          </w:p>
          <w:p w14:paraId="331C3EE5" w14:textId="7AD624B3" w:rsidR="00D93CBE" w:rsidRPr="00D93CBE" w:rsidRDefault="00D93CBE" w:rsidP="00161865">
            <w:pPr>
              <w:pStyle w:val="Listenabsatz"/>
              <w:numPr>
                <w:ilvl w:val="0"/>
                <w:numId w:val="17"/>
              </w:numPr>
              <w:adjustRightInd/>
              <w:spacing w:after="0" w:line="240" w:lineRule="auto"/>
              <w:ind w:right="0"/>
              <w:rPr>
                <w:rFonts w:eastAsia="Times New Roman"/>
                <w:color w:val="000000"/>
                <w:lang w:val="en-GB" w:eastAsia="de-DE"/>
              </w:rPr>
            </w:pPr>
            <w:r w:rsidRPr="00D93CBE">
              <w:rPr>
                <w:rFonts w:eastAsia="Times New Roman"/>
                <w:color w:val="000000"/>
                <w:lang w:val="en-GB" w:eastAsia="de-DE"/>
              </w:rPr>
              <w:t>Information on the sites where the design process was carried out (e.g.</w:t>
            </w:r>
            <w:r>
              <w:rPr>
                <w:rFonts w:eastAsia="Times New Roman"/>
                <w:color w:val="000000"/>
                <w:lang w:val="en-GB" w:eastAsia="de-DE"/>
              </w:rPr>
              <w:t>,</w:t>
            </w:r>
            <w:r w:rsidRPr="00D93CBE">
              <w:rPr>
                <w:rFonts w:eastAsia="Times New Roman"/>
                <w:color w:val="000000"/>
                <w:lang w:val="en-GB" w:eastAsia="de-DE"/>
              </w:rPr>
              <w:t xml:space="preserve"> outsourced development units, research facilities, etc.).</w:t>
            </w:r>
          </w:p>
          <w:p w14:paraId="779B6B33" w14:textId="0A54E254" w:rsidR="00C57D72" w:rsidRPr="007E20B6" w:rsidRDefault="00C57D72" w:rsidP="00161865">
            <w:pPr>
              <w:pStyle w:val="Listenabsatz"/>
              <w:numPr>
                <w:ilvl w:val="0"/>
                <w:numId w:val="17"/>
              </w:numPr>
              <w:adjustRightInd/>
              <w:spacing w:after="0" w:line="240" w:lineRule="auto"/>
              <w:ind w:right="0"/>
              <w:rPr>
                <w:rFonts w:eastAsia="Times New Roman"/>
                <w:b/>
                <w:bCs/>
                <w:color w:val="000000"/>
                <w:lang w:val="en-GB" w:eastAsia="de-DE"/>
              </w:rPr>
            </w:pPr>
            <w:r w:rsidRPr="007B71AD">
              <w:rPr>
                <w:rFonts w:eastAsia="Times New Roman"/>
                <w:color w:val="000000"/>
                <w:lang w:val="en-GB" w:eastAsia="de-DE"/>
              </w:rPr>
              <w:t xml:space="preserve">For </w:t>
            </w:r>
            <w:proofErr w:type="spellStart"/>
            <w:r w:rsidRPr="007B71AD">
              <w:rPr>
                <w:rFonts w:eastAsia="Times New Roman"/>
                <w:color w:val="000000"/>
                <w:lang w:val="en-GB" w:eastAsia="de-DE"/>
              </w:rPr>
              <w:t>CDx</w:t>
            </w:r>
            <w:proofErr w:type="spellEnd"/>
            <w:r w:rsidRPr="007B71AD">
              <w:rPr>
                <w:rFonts w:eastAsia="Times New Roman"/>
                <w:color w:val="000000"/>
                <w:lang w:val="en-GB" w:eastAsia="de-DE"/>
              </w:rPr>
              <w:t>, the design with regards to suitability of the device in relation to the medicinal product concerned.</w:t>
            </w:r>
          </w:p>
        </w:tc>
        <w:tc>
          <w:tcPr>
            <w:tcW w:w="1014" w:type="dxa"/>
            <w:shd w:val="clear" w:color="000000" w:fill="FFFFFF"/>
            <w:noWrap/>
            <w:vAlign w:val="center"/>
          </w:tcPr>
          <w:p w14:paraId="206C7C3D"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CE6FB9C"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905DA05"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44F8C81" w14:textId="05E2CE02"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672DA312" w14:textId="77777777" w:rsidTr="00161865">
        <w:trPr>
          <w:trHeight w:val="561"/>
        </w:trPr>
        <w:tc>
          <w:tcPr>
            <w:tcW w:w="715" w:type="dxa"/>
            <w:shd w:val="clear" w:color="auto" w:fill="EFF9FF"/>
            <w:noWrap/>
            <w:vAlign w:val="center"/>
          </w:tcPr>
          <w:p w14:paraId="1645358E" w14:textId="1E21977D"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3.2</w:t>
            </w:r>
          </w:p>
        </w:tc>
        <w:tc>
          <w:tcPr>
            <w:tcW w:w="4955" w:type="dxa"/>
            <w:shd w:val="clear" w:color="auto" w:fill="EFF9FF"/>
            <w:noWrap/>
            <w:vAlign w:val="center"/>
          </w:tcPr>
          <w:p w14:paraId="7824353D" w14:textId="0C05A43F" w:rsidR="00C57D72" w:rsidRPr="007E20B6" w:rsidRDefault="00C57D72" w:rsidP="00161865">
            <w:pPr>
              <w:adjustRightInd/>
              <w:spacing w:after="0" w:line="240" w:lineRule="auto"/>
              <w:ind w:right="0"/>
              <w:rPr>
                <w:rFonts w:eastAsia="Times New Roman"/>
                <w:b/>
                <w:bCs/>
                <w:color w:val="000000"/>
                <w:lang w:val="en-GB" w:eastAsia="de-DE"/>
              </w:rPr>
            </w:pPr>
            <w:r w:rsidRPr="007B71AD">
              <w:rPr>
                <w:rFonts w:eastAsia="Times New Roman"/>
                <w:b/>
                <w:bCs/>
                <w:color w:val="000000"/>
                <w:lang w:val="en-GB" w:eastAsia="de-DE"/>
              </w:rPr>
              <w:t>Manufacturing Information</w:t>
            </w:r>
          </w:p>
        </w:tc>
        <w:tc>
          <w:tcPr>
            <w:tcW w:w="1014" w:type="dxa"/>
            <w:shd w:val="clear" w:color="auto" w:fill="EFF9FF"/>
            <w:noWrap/>
            <w:vAlign w:val="center"/>
          </w:tcPr>
          <w:p w14:paraId="201B6F41"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5787E176"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67613820"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12E14556" w14:textId="2089F3F8"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01DDA568" w14:textId="77777777" w:rsidTr="00161865">
        <w:trPr>
          <w:trHeight w:val="561"/>
        </w:trPr>
        <w:tc>
          <w:tcPr>
            <w:tcW w:w="715" w:type="dxa"/>
            <w:shd w:val="clear" w:color="000000" w:fill="FFFFFF"/>
            <w:noWrap/>
            <w:vAlign w:val="center"/>
          </w:tcPr>
          <w:p w14:paraId="27024D12"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0E3F923A" w14:textId="5517AEDC" w:rsidR="00C57D72" w:rsidRPr="007B71AD"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 xml:space="preserve">Manufacturing includes production, assembly, </w:t>
            </w:r>
            <w:r w:rsidR="00D93CBE">
              <w:rPr>
                <w:rFonts w:eastAsia="Times New Roman"/>
                <w:color w:val="000000"/>
                <w:lang w:val="en-GB" w:eastAsia="de-DE"/>
              </w:rPr>
              <w:t xml:space="preserve">final product testing, </w:t>
            </w:r>
            <w:r w:rsidRPr="007B71AD">
              <w:rPr>
                <w:rFonts w:eastAsia="Times New Roman"/>
                <w:color w:val="000000"/>
                <w:lang w:val="en-GB" w:eastAsia="de-DE"/>
              </w:rPr>
              <w:t>packaging, sterile packaging, sterilisation, final packaging (as applicable).</w:t>
            </w:r>
          </w:p>
          <w:p w14:paraId="03D20E91" w14:textId="77777777" w:rsidR="00C57D72" w:rsidRPr="007B71AD" w:rsidRDefault="00C57D72" w:rsidP="00161865">
            <w:pPr>
              <w:adjustRightInd/>
              <w:spacing w:after="0" w:line="240" w:lineRule="auto"/>
              <w:ind w:right="0"/>
              <w:rPr>
                <w:rFonts w:eastAsia="Times New Roman"/>
                <w:color w:val="000000"/>
                <w:lang w:val="en-GB" w:eastAsia="de-DE"/>
              </w:rPr>
            </w:pPr>
          </w:p>
          <w:p w14:paraId="669D4198" w14:textId="77777777" w:rsidR="00D93CBE"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 xml:space="preserve">Flow Chart including operation steps, time points of in-process controls (monitoring) and final controls, reference of manufacturing procedures (ID numbers sufficient for traceability). </w:t>
            </w:r>
          </w:p>
          <w:p w14:paraId="104F1B3B" w14:textId="683A0652" w:rsidR="00C57D72" w:rsidRPr="007B71AD"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A summary of manufacturing processes allowing an understanding of the critical process steps and utilities and process chemical required to product the device</w:t>
            </w:r>
            <w:r w:rsidR="00D93CBE">
              <w:rPr>
                <w:rFonts w:eastAsia="Times New Roman"/>
                <w:color w:val="000000"/>
                <w:lang w:val="en-GB" w:eastAsia="de-DE"/>
              </w:rPr>
              <w:t>, including the identification of all sites involved in manufacturing processes</w:t>
            </w:r>
            <w:r w:rsidR="00810E8F">
              <w:rPr>
                <w:rFonts w:eastAsia="Times New Roman"/>
                <w:color w:val="000000"/>
                <w:lang w:val="en-GB" w:eastAsia="de-DE"/>
              </w:rPr>
              <w:t xml:space="preserve"> (including addresses)</w:t>
            </w:r>
            <w:r w:rsidR="00D93CBE">
              <w:rPr>
                <w:rFonts w:eastAsia="Times New Roman"/>
                <w:color w:val="000000"/>
                <w:lang w:val="en-GB" w:eastAsia="de-DE"/>
              </w:rPr>
              <w:t>.</w:t>
            </w:r>
          </w:p>
          <w:p w14:paraId="60BA1CC3" w14:textId="77777777" w:rsidR="00C57D72" w:rsidRPr="007B71AD"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In case of sub-contracted (outsourced) processes:</w:t>
            </w:r>
          </w:p>
          <w:p w14:paraId="5CA15892" w14:textId="39EA4F24" w:rsidR="00C57D72" w:rsidRPr="007B71AD" w:rsidRDefault="00C57D72" w:rsidP="00161865">
            <w:pPr>
              <w:pStyle w:val="Listenabsatz"/>
              <w:numPr>
                <w:ilvl w:val="0"/>
                <w:numId w:val="3"/>
              </w:numPr>
              <w:adjustRightInd/>
              <w:spacing w:after="0" w:line="240" w:lineRule="auto"/>
              <w:ind w:right="0"/>
              <w:rPr>
                <w:rFonts w:eastAsia="Times New Roman"/>
                <w:color w:val="000000"/>
                <w:szCs w:val="20"/>
                <w:lang w:val="en-GB" w:eastAsia="de-DE"/>
              </w:rPr>
            </w:pPr>
            <w:r w:rsidRPr="007B71AD">
              <w:rPr>
                <w:rFonts w:eastAsia="Times New Roman"/>
                <w:color w:val="000000"/>
                <w:szCs w:val="20"/>
                <w:lang w:val="en-GB" w:eastAsia="de-DE"/>
              </w:rPr>
              <w:t>For non-critical component suppliers (e.g.</w:t>
            </w:r>
            <w:r w:rsidR="00D93CBE">
              <w:rPr>
                <w:rFonts w:eastAsia="Times New Roman"/>
                <w:color w:val="000000"/>
                <w:szCs w:val="20"/>
                <w:lang w:val="en-GB" w:eastAsia="de-DE"/>
              </w:rPr>
              <w:t>,</w:t>
            </w:r>
            <w:r w:rsidRPr="007B71AD">
              <w:rPr>
                <w:rFonts w:eastAsia="Times New Roman"/>
                <w:color w:val="000000"/>
                <w:szCs w:val="20"/>
                <w:lang w:val="en-GB" w:eastAsia="de-DE"/>
              </w:rPr>
              <w:t xml:space="preserve"> bulk) identification of supplier only.</w:t>
            </w:r>
          </w:p>
          <w:p w14:paraId="1E5375A5" w14:textId="0D77A8BA" w:rsidR="00C57D72" w:rsidRPr="007B71AD" w:rsidRDefault="00C57D72" w:rsidP="00161865">
            <w:pPr>
              <w:pStyle w:val="Listenabsatz"/>
              <w:numPr>
                <w:ilvl w:val="0"/>
                <w:numId w:val="3"/>
              </w:numPr>
              <w:adjustRightInd/>
              <w:spacing w:after="0" w:line="240" w:lineRule="auto"/>
              <w:ind w:right="0"/>
              <w:rPr>
                <w:rFonts w:eastAsia="Times New Roman"/>
                <w:color w:val="000000"/>
                <w:szCs w:val="20"/>
                <w:lang w:val="en-GB" w:eastAsia="de-DE"/>
              </w:rPr>
            </w:pPr>
            <w:r w:rsidRPr="007B71AD">
              <w:rPr>
                <w:rFonts w:eastAsia="Times New Roman"/>
                <w:color w:val="000000"/>
                <w:szCs w:val="20"/>
                <w:lang w:val="en-GB" w:eastAsia="de-DE"/>
              </w:rPr>
              <w:t>For critical component suppliers (e.g.</w:t>
            </w:r>
            <w:r w:rsidR="00D93CBE">
              <w:rPr>
                <w:rFonts w:eastAsia="Times New Roman"/>
                <w:color w:val="000000"/>
                <w:szCs w:val="20"/>
                <w:lang w:val="en-GB" w:eastAsia="de-DE"/>
              </w:rPr>
              <w:t>,</w:t>
            </w:r>
            <w:r w:rsidRPr="007B71AD">
              <w:rPr>
                <w:rFonts w:eastAsia="Times New Roman"/>
                <w:color w:val="000000"/>
                <w:szCs w:val="20"/>
                <w:lang w:val="en-GB" w:eastAsia="de-DE"/>
              </w:rPr>
              <w:t xml:space="preserve"> outsourced manufacturing of sterile device) overview of manufacturing processes and corresponding control </w:t>
            </w:r>
            <w:r w:rsidRPr="007B71AD">
              <w:rPr>
                <w:rFonts w:eastAsia="Times New Roman"/>
                <w:color w:val="000000"/>
                <w:szCs w:val="20"/>
                <w:lang w:val="en-GB" w:eastAsia="de-DE"/>
              </w:rPr>
              <w:lastRenderedPageBreak/>
              <w:t>measures (e.g.</w:t>
            </w:r>
            <w:r w:rsidR="00D93CBE">
              <w:rPr>
                <w:rFonts w:eastAsia="Times New Roman"/>
                <w:color w:val="000000"/>
                <w:szCs w:val="20"/>
                <w:lang w:val="en-GB" w:eastAsia="de-DE"/>
              </w:rPr>
              <w:t>,</w:t>
            </w:r>
            <w:r w:rsidRPr="007B71AD">
              <w:rPr>
                <w:rFonts w:eastAsia="Times New Roman"/>
                <w:color w:val="000000"/>
                <w:szCs w:val="20"/>
                <w:lang w:val="en-GB" w:eastAsia="de-DE"/>
              </w:rPr>
              <w:t xml:space="preserve"> references to verification and validation activities, copy of the certificate shall be included).</w:t>
            </w:r>
          </w:p>
        </w:tc>
        <w:tc>
          <w:tcPr>
            <w:tcW w:w="1014" w:type="dxa"/>
            <w:shd w:val="clear" w:color="000000" w:fill="FFFFFF"/>
            <w:noWrap/>
            <w:vAlign w:val="center"/>
          </w:tcPr>
          <w:p w14:paraId="02D5071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17D05F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9D202F8"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45BD3EA" w14:textId="17B304F6"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21652E75" w14:textId="77777777" w:rsidTr="00161865">
        <w:trPr>
          <w:trHeight w:val="561"/>
        </w:trPr>
        <w:tc>
          <w:tcPr>
            <w:tcW w:w="715" w:type="dxa"/>
            <w:shd w:val="clear" w:color="auto" w:fill="CCECFF"/>
            <w:noWrap/>
            <w:vAlign w:val="center"/>
          </w:tcPr>
          <w:p w14:paraId="035FAD01" w14:textId="28C3D229"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4.</w:t>
            </w:r>
          </w:p>
        </w:tc>
        <w:tc>
          <w:tcPr>
            <w:tcW w:w="13318" w:type="dxa"/>
            <w:gridSpan w:val="5"/>
            <w:shd w:val="clear" w:color="auto" w:fill="CCECFF"/>
            <w:vAlign w:val="center"/>
          </w:tcPr>
          <w:p w14:paraId="72B844D9" w14:textId="18C8C760" w:rsidR="00C57D72" w:rsidRPr="00C43FDB" w:rsidRDefault="00C57D72" w:rsidP="00161865">
            <w:pPr>
              <w:adjustRightInd/>
              <w:spacing w:after="0" w:line="240" w:lineRule="auto"/>
              <w:ind w:right="0"/>
              <w:rPr>
                <w:rStyle w:val="Fett"/>
                <w:bCs w:val="0"/>
                <w:lang w:val="en-GB" w:eastAsia="de-DE"/>
              </w:rPr>
            </w:pPr>
            <w:r w:rsidRPr="00C43FDB">
              <w:rPr>
                <w:rStyle w:val="Fett"/>
                <w:bCs w:val="0"/>
                <w:lang w:val="en-GB" w:eastAsia="de-DE"/>
              </w:rPr>
              <w:t>General Safety and Performance Requirements</w:t>
            </w:r>
          </w:p>
          <w:p w14:paraId="24F335D7" w14:textId="22362C60" w:rsidR="00C57D72" w:rsidRPr="00C43FDB" w:rsidRDefault="00C57D72" w:rsidP="00161865">
            <w:pPr>
              <w:adjustRightInd/>
              <w:spacing w:after="0" w:line="240" w:lineRule="auto"/>
              <w:ind w:right="0"/>
              <w:rPr>
                <w:rStyle w:val="Fett"/>
                <w:b w:val="0"/>
                <w:lang w:val="en-US"/>
              </w:rPr>
            </w:pPr>
            <w:r w:rsidRPr="00C43FDB">
              <w:rPr>
                <w:rStyle w:val="Fett"/>
                <w:b w:val="0"/>
                <w:lang w:val="en-GB" w:eastAsia="de-DE"/>
              </w:rPr>
              <w:t>(Regulation (EU) 2017/746 (IVDR), Annex II Section 4)</w:t>
            </w:r>
          </w:p>
        </w:tc>
      </w:tr>
      <w:tr w:rsidR="006331CD" w:rsidRPr="00AF7A73" w14:paraId="1F9CCF08" w14:textId="77777777" w:rsidTr="00161865">
        <w:trPr>
          <w:trHeight w:val="561"/>
        </w:trPr>
        <w:tc>
          <w:tcPr>
            <w:tcW w:w="715" w:type="dxa"/>
            <w:shd w:val="clear" w:color="auto" w:fill="EFF9FF"/>
            <w:noWrap/>
            <w:vAlign w:val="center"/>
          </w:tcPr>
          <w:p w14:paraId="5C3E192E" w14:textId="1B00B1CF" w:rsidR="006331CD" w:rsidRPr="00A0478D" w:rsidRDefault="006331CD"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4.1</w:t>
            </w:r>
          </w:p>
        </w:tc>
        <w:tc>
          <w:tcPr>
            <w:tcW w:w="4955" w:type="dxa"/>
            <w:shd w:val="clear" w:color="auto" w:fill="EFF9FF"/>
            <w:noWrap/>
            <w:vAlign w:val="center"/>
          </w:tcPr>
          <w:p w14:paraId="5558CFF4" w14:textId="5B09DFE4" w:rsidR="006331CD" w:rsidRPr="006331CD" w:rsidRDefault="006331CD" w:rsidP="00161865">
            <w:pPr>
              <w:adjustRightInd/>
              <w:spacing w:after="0" w:line="240" w:lineRule="auto"/>
              <w:ind w:right="0"/>
              <w:rPr>
                <w:rFonts w:eastAsia="Times New Roman"/>
                <w:b/>
                <w:bCs/>
                <w:color w:val="000000"/>
                <w:lang w:val="en-GB" w:eastAsia="de-DE"/>
              </w:rPr>
            </w:pPr>
            <w:r w:rsidRPr="006331CD">
              <w:rPr>
                <w:rFonts w:eastAsia="Times New Roman"/>
                <w:b/>
                <w:bCs/>
                <w:color w:val="000000"/>
                <w:lang w:val="en-GB" w:eastAsia="de-DE"/>
              </w:rPr>
              <w:t>GSPR Checklist</w:t>
            </w:r>
          </w:p>
        </w:tc>
        <w:tc>
          <w:tcPr>
            <w:tcW w:w="1014" w:type="dxa"/>
            <w:shd w:val="clear" w:color="auto" w:fill="EFF9FF"/>
            <w:noWrap/>
            <w:vAlign w:val="center"/>
          </w:tcPr>
          <w:p w14:paraId="4B2EA01A" w14:textId="77777777" w:rsidR="006331CD" w:rsidRPr="004C3A94" w:rsidRDefault="006331CD"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56C0E4D4" w14:textId="77777777" w:rsidR="006331CD" w:rsidRPr="004C3A94" w:rsidRDefault="006331CD"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41177B9F" w14:textId="77777777" w:rsidR="006331CD" w:rsidRPr="004C3A94" w:rsidRDefault="006331CD"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3CEE5E1A" w14:textId="77777777" w:rsidR="006331CD" w:rsidRPr="004C3A94" w:rsidRDefault="006331CD" w:rsidP="00161865">
            <w:pPr>
              <w:adjustRightInd/>
              <w:spacing w:after="0" w:line="240" w:lineRule="auto"/>
              <w:ind w:right="0"/>
              <w:rPr>
                <w:rFonts w:eastAsia="Times New Roman" w:cs="Calibri"/>
                <w:color w:val="000000"/>
                <w:lang w:val="en-GB" w:eastAsia="de-DE"/>
              </w:rPr>
            </w:pPr>
          </w:p>
        </w:tc>
      </w:tr>
      <w:tr w:rsidR="00C57D72" w:rsidRPr="004B5366" w14:paraId="71DD34D1" w14:textId="77777777" w:rsidTr="00161865">
        <w:trPr>
          <w:trHeight w:val="561"/>
        </w:trPr>
        <w:tc>
          <w:tcPr>
            <w:tcW w:w="715" w:type="dxa"/>
            <w:shd w:val="clear" w:color="000000" w:fill="FFFFFF"/>
            <w:noWrap/>
            <w:vAlign w:val="center"/>
          </w:tcPr>
          <w:p w14:paraId="0D5D36A9"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8AEFFB3" w14:textId="77777777" w:rsidR="006331CD"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 xml:space="preserve">Fulfilment of all applicable General Safety and Performance Requirements must be shown. </w:t>
            </w:r>
          </w:p>
          <w:p w14:paraId="5A4EFBC8" w14:textId="3BACE42A" w:rsidR="00810E8F" w:rsidRDefault="006331CD" w:rsidP="00161865">
            <w:pPr>
              <w:adjustRightInd/>
              <w:spacing w:after="0" w:line="240" w:lineRule="auto"/>
              <w:ind w:right="0"/>
              <w:rPr>
                <w:rFonts w:eastAsia="Times New Roman"/>
                <w:color w:val="000000"/>
                <w:lang w:val="en-GB" w:eastAsia="de-DE"/>
              </w:rPr>
            </w:pPr>
            <w:r>
              <w:rPr>
                <w:rFonts w:eastAsia="Times New Roman"/>
                <w:color w:val="000000"/>
                <w:lang w:val="en-GB" w:eastAsia="de-DE"/>
              </w:rPr>
              <w:t>P</w:t>
            </w:r>
            <w:r w:rsidR="00C57D72" w:rsidRPr="007B71AD">
              <w:rPr>
                <w:rFonts w:eastAsia="Times New Roman"/>
                <w:color w:val="000000"/>
                <w:lang w:val="en-GB" w:eastAsia="de-DE"/>
              </w:rPr>
              <w:t xml:space="preserve">lease make sure: </w:t>
            </w:r>
          </w:p>
          <w:p w14:paraId="4A16B04F" w14:textId="77777777" w:rsidR="00810E8F" w:rsidRDefault="00C57D72" w:rsidP="00161865">
            <w:pPr>
              <w:pStyle w:val="Listenabsatz"/>
              <w:numPr>
                <w:ilvl w:val="0"/>
                <w:numId w:val="18"/>
              </w:numPr>
              <w:adjustRightInd/>
              <w:spacing w:after="0" w:line="240" w:lineRule="auto"/>
              <w:ind w:right="0"/>
              <w:rPr>
                <w:rFonts w:eastAsia="Times New Roman"/>
                <w:color w:val="000000"/>
                <w:lang w:val="en-GB" w:eastAsia="de-DE"/>
              </w:rPr>
            </w:pPr>
            <w:r w:rsidRPr="00810E8F">
              <w:rPr>
                <w:rFonts w:eastAsia="Times New Roman"/>
                <w:color w:val="000000"/>
                <w:lang w:val="en-GB" w:eastAsia="de-DE"/>
              </w:rPr>
              <w:t>Non-applicable General Safety and Performance Requirements shall have a justification as to why they are not applicable to the device.</w:t>
            </w:r>
          </w:p>
          <w:p w14:paraId="587565C1" w14:textId="77777777" w:rsidR="00810E8F" w:rsidRDefault="00C57D72" w:rsidP="00161865">
            <w:pPr>
              <w:pStyle w:val="Listenabsatz"/>
              <w:numPr>
                <w:ilvl w:val="0"/>
                <w:numId w:val="18"/>
              </w:numPr>
              <w:adjustRightInd/>
              <w:spacing w:after="0" w:line="240" w:lineRule="auto"/>
              <w:ind w:right="0"/>
              <w:rPr>
                <w:rFonts w:eastAsia="Times New Roman"/>
                <w:color w:val="000000"/>
                <w:lang w:val="en-GB" w:eastAsia="de-DE"/>
              </w:rPr>
            </w:pPr>
            <w:r w:rsidRPr="00810E8F">
              <w:rPr>
                <w:rFonts w:eastAsia="Times New Roman"/>
                <w:color w:val="000000"/>
                <w:lang w:val="en-GB" w:eastAsia="de-DE"/>
              </w:rPr>
              <w:t xml:space="preserve">Demonstration of conformity includes a precise identity of the controlled documents offering evidence of conformity with harmonised standards, common specification or other method employed to demonstrate conformity with the General Safety and Performance Requirements. </w:t>
            </w:r>
          </w:p>
          <w:p w14:paraId="26F1C4F8" w14:textId="77777777" w:rsidR="00C57D72" w:rsidRDefault="00C57D72" w:rsidP="00161865">
            <w:pPr>
              <w:pStyle w:val="Listenabsatz"/>
              <w:numPr>
                <w:ilvl w:val="0"/>
                <w:numId w:val="18"/>
              </w:numPr>
              <w:adjustRightInd/>
              <w:spacing w:after="0" w:line="240" w:lineRule="auto"/>
              <w:ind w:right="0"/>
              <w:rPr>
                <w:rFonts w:eastAsia="Times New Roman"/>
                <w:color w:val="000000"/>
                <w:lang w:val="en-GB" w:eastAsia="de-DE"/>
              </w:rPr>
            </w:pPr>
            <w:r w:rsidRPr="00810E8F">
              <w:rPr>
                <w:rFonts w:eastAsia="Times New Roman"/>
                <w:color w:val="000000"/>
                <w:lang w:val="en-GB" w:eastAsia="de-DE"/>
              </w:rPr>
              <w:t>A cross-reference to the location of such evidence is provided.</w:t>
            </w:r>
          </w:p>
          <w:p w14:paraId="4C06B3B5" w14:textId="314997B4" w:rsidR="00810E8F" w:rsidRPr="00810E8F" w:rsidRDefault="006331CD" w:rsidP="00161865">
            <w:pPr>
              <w:pStyle w:val="Listenabsatz"/>
              <w:numPr>
                <w:ilvl w:val="0"/>
                <w:numId w:val="18"/>
              </w:numPr>
              <w:adjustRightInd/>
              <w:spacing w:after="0" w:line="240" w:lineRule="auto"/>
              <w:ind w:right="0"/>
              <w:rPr>
                <w:rFonts w:eastAsia="Times New Roman"/>
                <w:color w:val="000000"/>
                <w:lang w:val="en-GB" w:eastAsia="de-DE"/>
              </w:rPr>
            </w:pPr>
            <w:r w:rsidRPr="006331CD">
              <w:rPr>
                <w:rFonts w:eastAsia="Times New Roman"/>
                <w:color w:val="000000"/>
                <w:lang w:val="en-GB" w:eastAsia="de-DE"/>
              </w:rPr>
              <w:t>Assessment of whether the requirements are met</w:t>
            </w:r>
          </w:p>
        </w:tc>
        <w:tc>
          <w:tcPr>
            <w:tcW w:w="1014" w:type="dxa"/>
            <w:shd w:val="clear" w:color="000000" w:fill="FFFFFF"/>
            <w:noWrap/>
            <w:vAlign w:val="center"/>
          </w:tcPr>
          <w:p w14:paraId="3828F71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169B8951"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60822D2"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7EFB41A" w14:textId="26A43EC0" w:rsidR="00C57D72" w:rsidRPr="004C3A94" w:rsidRDefault="00C57D72" w:rsidP="00161865">
            <w:pPr>
              <w:adjustRightInd/>
              <w:spacing w:after="0" w:line="240" w:lineRule="auto"/>
              <w:ind w:right="0"/>
              <w:rPr>
                <w:rFonts w:eastAsia="Times New Roman" w:cs="Calibri"/>
                <w:color w:val="000000"/>
                <w:lang w:val="en-GB" w:eastAsia="de-DE"/>
              </w:rPr>
            </w:pPr>
          </w:p>
        </w:tc>
      </w:tr>
      <w:tr w:rsidR="006331CD" w:rsidRPr="00AF7A73" w14:paraId="01C8C385" w14:textId="77777777" w:rsidTr="00161865">
        <w:trPr>
          <w:trHeight w:val="561"/>
        </w:trPr>
        <w:tc>
          <w:tcPr>
            <w:tcW w:w="715" w:type="dxa"/>
            <w:shd w:val="clear" w:color="auto" w:fill="EFF9FF"/>
            <w:noWrap/>
            <w:vAlign w:val="center"/>
          </w:tcPr>
          <w:p w14:paraId="1C1605C5" w14:textId="546D0C1F" w:rsidR="006331CD" w:rsidRPr="00A0478D" w:rsidRDefault="006331CD"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4.2</w:t>
            </w:r>
          </w:p>
        </w:tc>
        <w:tc>
          <w:tcPr>
            <w:tcW w:w="4955" w:type="dxa"/>
            <w:shd w:val="clear" w:color="auto" w:fill="EFF9FF"/>
            <w:noWrap/>
            <w:vAlign w:val="center"/>
          </w:tcPr>
          <w:p w14:paraId="13E81030" w14:textId="29462CAC" w:rsidR="006331CD" w:rsidRPr="006331CD" w:rsidRDefault="006331CD" w:rsidP="00161865">
            <w:pPr>
              <w:adjustRightInd/>
              <w:spacing w:after="0" w:line="240" w:lineRule="auto"/>
              <w:ind w:right="0"/>
              <w:rPr>
                <w:rFonts w:eastAsia="Times New Roman"/>
                <w:b/>
                <w:bCs/>
                <w:color w:val="000000"/>
                <w:lang w:val="en-GB" w:eastAsia="de-DE"/>
              </w:rPr>
            </w:pPr>
            <w:r w:rsidRPr="006331CD">
              <w:rPr>
                <w:rFonts w:eastAsia="Times New Roman"/>
                <w:b/>
                <w:bCs/>
                <w:color w:val="000000"/>
                <w:lang w:val="en-GB" w:eastAsia="de-DE"/>
              </w:rPr>
              <w:t>List of applicable standards</w:t>
            </w:r>
          </w:p>
        </w:tc>
        <w:tc>
          <w:tcPr>
            <w:tcW w:w="1014" w:type="dxa"/>
            <w:shd w:val="clear" w:color="auto" w:fill="EFF9FF"/>
            <w:noWrap/>
            <w:vAlign w:val="center"/>
          </w:tcPr>
          <w:p w14:paraId="48C1CF10" w14:textId="77777777" w:rsidR="006331CD" w:rsidRPr="004C3A94" w:rsidRDefault="006331CD"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4E31798B" w14:textId="77777777" w:rsidR="006331CD" w:rsidRPr="004C3A94" w:rsidRDefault="006331CD"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5B10B671" w14:textId="77777777" w:rsidR="006331CD" w:rsidRPr="004C3A94" w:rsidRDefault="006331CD"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2B33EAF0" w14:textId="77777777" w:rsidR="006331CD" w:rsidRPr="004C3A94" w:rsidRDefault="006331CD" w:rsidP="00161865">
            <w:pPr>
              <w:adjustRightInd/>
              <w:spacing w:after="0" w:line="240" w:lineRule="auto"/>
              <w:ind w:right="0"/>
              <w:rPr>
                <w:rFonts w:eastAsia="Times New Roman" w:cs="Calibri"/>
                <w:color w:val="000000"/>
                <w:lang w:val="en-GB" w:eastAsia="de-DE"/>
              </w:rPr>
            </w:pPr>
          </w:p>
        </w:tc>
      </w:tr>
      <w:tr w:rsidR="006331CD" w:rsidRPr="00AF7A73" w14:paraId="29C2DF76" w14:textId="77777777" w:rsidTr="00161865">
        <w:trPr>
          <w:trHeight w:val="561"/>
        </w:trPr>
        <w:tc>
          <w:tcPr>
            <w:tcW w:w="715" w:type="dxa"/>
            <w:shd w:val="clear" w:color="000000" w:fill="FFFFFF"/>
            <w:noWrap/>
            <w:vAlign w:val="center"/>
          </w:tcPr>
          <w:p w14:paraId="625765CF" w14:textId="77777777" w:rsidR="006331CD" w:rsidRPr="00A0478D" w:rsidRDefault="006331CD"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4DE9ABE9" w14:textId="177E12DC" w:rsidR="006331CD" w:rsidRPr="007B71AD" w:rsidRDefault="006331CD" w:rsidP="00161865">
            <w:pPr>
              <w:adjustRightInd/>
              <w:spacing w:after="0" w:line="240" w:lineRule="auto"/>
              <w:ind w:right="0"/>
              <w:rPr>
                <w:rFonts w:eastAsia="Times New Roman"/>
                <w:color w:val="000000"/>
                <w:lang w:val="en-GB" w:eastAsia="de-DE"/>
              </w:rPr>
            </w:pPr>
            <w:r w:rsidRPr="006331CD">
              <w:rPr>
                <w:rFonts w:eastAsia="Times New Roman"/>
                <w:color w:val="000000"/>
                <w:lang w:val="en-GB" w:eastAsia="de-DE"/>
              </w:rPr>
              <w:t>Current list of applied standards with issue status, as well as indication of which parts of the standards have not been applied, if applicable.</w:t>
            </w:r>
            <w:r>
              <w:rPr>
                <w:rFonts w:eastAsia="Times New Roman"/>
                <w:color w:val="000000"/>
                <w:lang w:val="en-GB" w:eastAsia="de-DE"/>
              </w:rPr>
              <w:t xml:space="preserve"> This can be integrated into 4.1, if preferred.</w:t>
            </w:r>
          </w:p>
        </w:tc>
        <w:tc>
          <w:tcPr>
            <w:tcW w:w="1014" w:type="dxa"/>
            <w:shd w:val="clear" w:color="000000" w:fill="FFFFFF"/>
            <w:noWrap/>
            <w:vAlign w:val="center"/>
          </w:tcPr>
          <w:p w14:paraId="1874F133" w14:textId="77777777" w:rsidR="006331CD" w:rsidRPr="004C3A94" w:rsidRDefault="006331CD"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955E60D" w14:textId="77777777" w:rsidR="006331CD" w:rsidRPr="004C3A94" w:rsidRDefault="006331CD"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F676739" w14:textId="77777777" w:rsidR="006331CD" w:rsidRPr="004C3A94" w:rsidRDefault="006331CD"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CEFE221" w14:textId="77777777" w:rsidR="006331CD" w:rsidRPr="004C3A94" w:rsidRDefault="006331CD" w:rsidP="00161865">
            <w:pPr>
              <w:adjustRightInd/>
              <w:spacing w:after="0" w:line="240" w:lineRule="auto"/>
              <w:ind w:right="0"/>
              <w:rPr>
                <w:rFonts w:eastAsia="Times New Roman" w:cs="Calibri"/>
                <w:color w:val="000000"/>
                <w:lang w:val="en-GB" w:eastAsia="de-DE"/>
              </w:rPr>
            </w:pPr>
          </w:p>
        </w:tc>
      </w:tr>
      <w:tr w:rsidR="00C57D72" w:rsidRPr="004B5366" w14:paraId="13BC4AEB" w14:textId="77777777" w:rsidTr="00161865">
        <w:trPr>
          <w:trHeight w:val="561"/>
        </w:trPr>
        <w:tc>
          <w:tcPr>
            <w:tcW w:w="715" w:type="dxa"/>
            <w:shd w:val="clear" w:color="auto" w:fill="CCECFF"/>
            <w:noWrap/>
            <w:vAlign w:val="center"/>
          </w:tcPr>
          <w:p w14:paraId="78FB6E84" w14:textId="7BC134CB"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lastRenderedPageBreak/>
              <w:t>5.</w:t>
            </w:r>
          </w:p>
        </w:tc>
        <w:tc>
          <w:tcPr>
            <w:tcW w:w="13318" w:type="dxa"/>
            <w:gridSpan w:val="5"/>
            <w:shd w:val="clear" w:color="auto" w:fill="CCECFF"/>
            <w:vAlign w:val="center"/>
          </w:tcPr>
          <w:p w14:paraId="5CC2D5D5" w14:textId="012C8851" w:rsidR="00C57D72" w:rsidRPr="00C43FDB" w:rsidRDefault="00C57D72" w:rsidP="00161865">
            <w:pPr>
              <w:adjustRightInd/>
              <w:spacing w:after="0" w:line="240" w:lineRule="auto"/>
              <w:ind w:right="0"/>
              <w:rPr>
                <w:rStyle w:val="Fett"/>
                <w:bCs w:val="0"/>
                <w:lang w:val="en-GB" w:eastAsia="de-DE"/>
              </w:rPr>
            </w:pPr>
            <w:r w:rsidRPr="00C43FDB">
              <w:rPr>
                <w:rStyle w:val="Fett"/>
                <w:bCs w:val="0"/>
                <w:lang w:val="en-GB" w:eastAsia="de-DE"/>
              </w:rPr>
              <w:t>Benefit-Risk Analysis and Risk Management</w:t>
            </w:r>
          </w:p>
          <w:p w14:paraId="4CA93DFF" w14:textId="399228FE" w:rsidR="00C57D72" w:rsidRPr="00C43FDB" w:rsidRDefault="00C57D72" w:rsidP="00161865">
            <w:pPr>
              <w:adjustRightInd/>
              <w:spacing w:after="0" w:line="240" w:lineRule="auto"/>
              <w:ind w:right="0"/>
              <w:rPr>
                <w:rStyle w:val="Fett"/>
                <w:b w:val="0"/>
                <w:lang w:val="en-US"/>
              </w:rPr>
            </w:pPr>
            <w:r w:rsidRPr="00C43FDB">
              <w:rPr>
                <w:rStyle w:val="Fett"/>
                <w:b w:val="0"/>
                <w:lang w:val="en-GB" w:eastAsia="de-DE"/>
              </w:rPr>
              <w:t>(Regulation (EU) 2017/746 (IVDR), Annex II Section 5)</w:t>
            </w:r>
          </w:p>
        </w:tc>
      </w:tr>
      <w:tr w:rsidR="008308EB" w:rsidRPr="004B5366" w14:paraId="074F62EA" w14:textId="77777777" w:rsidTr="00161865">
        <w:trPr>
          <w:trHeight w:val="561"/>
        </w:trPr>
        <w:tc>
          <w:tcPr>
            <w:tcW w:w="715" w:type="dxa"/>
            <w:shd w:val="clear" w:color="auto" w:fill="EFF9FF"/>
            <w:noWrap/>
            <w:vAlign w:val="center"/>
          </w:tcPr>
          <w:p w14:paraId="02CA95FC" w14:textId="469F1E5B" w:rsidR="008308EB" w:rsidRPr="00A0478D" w:rsidRDefault="008308EB"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5.1</w:t>
            </w:r>
          </w:p>
        </w:tc>
        <w:tc>
          <w:tcPr>
            <w:tcW w:w="4955" w:type="dxa"/>
            <w:shd w:val="clear" w:color="auto" w:fill="EFF9FF"/>
            <w:noWrap/>
            <w:vAlign w:val="center"/>
          </w:tcPr>
          <w:p w14:paraId="30E89A59" w14:textId="32E36B31" w:rsidR="008308EB" w:rsidRPr="008308EB" w:rsidRDefault="008308EB" w:rsidP="00161865">
            <w:pPr>
              <w:adjustRightInd/>
              <w:spacing w:after="0" w:line="240" w:lineRule="auto"/>
              <w:ind w:right="0"/>
              <w:rPr>
                <w:rFonts w:eastAsia="Times New Roman" w:cs="Calibri"/>
                <w:b/>
                <w:bCs/>
                <w:color w:val="000000"/>
                <w:lang w:val="en-GB" w:eastAsia="de-DE"/>
              </w:rPr>
            </w:pPr>
            <w:r w:rsidRPr="007B71AD">
              <w:rPr>
                <w:rFonts w:eastAsia="Times New Roman" w:cs="Calibri"/>
                <w:b/>
                <w:bCs/>
                <w:color w:val="000000"/>
                <w:lang w:val="en-GB" w:eastAsia="de-DE"/>
              </w:rPr>
              <w:t>Benefit-Risk Analysis and Risk Management</w:t>
            </w:r>
          </w:p>
        </w:tc>
        <w:tc>
          <w:tcPr>
            <w:tcW w:w="1014" w:type="dxa"/>
            <w:shd w:val="clear" w:color="auto" w:fill="EFF9FF"/>
            <w:noWrap/>
            <w:vAlign w:val="center"/>
          </w:tcPr>
          <w:p w14:paraId="66760BD8" w14:textId="77777777" w:rsidR="008308EB" w:rsidRPr="004C3A94" w:rsidRDefault="008308EB"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59B14132" w14:textId="77777777" w:rsidR="008308EB" w:rsidRPr="004C3A94" w:rsidRDefault="008308EB"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001F124E" w14:textId="77777777" w:rsidR="008308EB" w:rsidRPr="004C3A94" w:rsidRDefault="008308EB"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430DE678" w14:textId="77777777" w:rsidR="008308EB" w:rsidRPr="004C3A94" w:rsidRDefault="008308EB" w:rsidP="00161865">
            <w:pPr>
              <w:adjustRightInd/>
              <w:spacing w:after="0" w:line="240" w:lineRule="auto"/>
              <w:ind w:right="0"/>
              <w:rPr>
                <w:rFonts w:eastAsia="Times New Roman" w:cs="Calibri"/>
                <w:color w:val="000000"/>
                <w:lang w:val="en-GB" w:eastAsia="de-DE"/>
              </w:rPr>
            </w:pPr>
          </w:p>
        </w:tc>
      </w:tr>
      <w:tr w:rsidR="00C57D72" w:rsidRPr="004B5366" w14:paraId="396E44D4" w14:textId="77777777" w:rsidTr="00161865">
        <w:trPr>
          <w:trHeight w:val="561"/>
        </w:trPr>
        <w:tc>
          <w:tcPr>
            <w:tcW w:w="715" w:type="dxa"/>
            <w:shd w:val="clear" w:color="000000" w:fill="FFFFFF"/>
            <w:noWrap/>
            <w:vAlign w:val="center"/>
          </w:tcPr>
          <w:p w14:paraId="558109D6" w14:textId="7DB42C6A"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7A8784A5" w14:textId="77777777" w:rsidR="00C57D72" w:rsidRDefault="006331CD" w:rsidP="00161865">
            <w:pPr>
              <w:pStyle w:val="Listenabsatz"/>
              <w:numPr>
                <w:ilvl w:val="0"/>
                <w:numId w:val="19"/>
              </w:numPr>
              <w:adjustRightInd/>
              <w:spacing w:after="0" w:line="240" w:lineRule="auto"/>
              <w:ind w:right="0"/>
              <w:rPr>
                <w:rFonts w:eastAsia="Times New Roman"/>
                <w:color w:val="000000"/>
                <w:lang w:val="en-GB" w:eastAsia="de-DE"/>
              </w:rPr>
            </w:pPr>
            <w:r w:rsidRPr="008308EB">
              <w:rPr>
                <w:rFonts w:eastAsia="Times New Roman"/>
                <w:color w:val="000000"/>
                <w:lang w:val="en-GB" w:eastAsia="de-DE"/>
              </w:rPr>
              <w:t>Risk management plan</w:t>
            </w:r>
          </w:p>
          <w:p w14:paraId="614B7652" w14:textId="77777777" w:rsidR="008308EB" w:rsidRDefault="008308EB" w:rsidP="00161865">
            <w:pPr>
              <w:pStyle w:val="Listenabsatz"/>
              <w:numPr>
                <w:ilvl w:val="0"/>
                <w:numId w:val="19"/>
              </w:numPr>
              <w:adjustRightInd/>
              <w:spacing w:after="0" w:line="240" w:lineRule="auto"/>
              <w:ind w:right="0"/>
              <w:rPr>
                <w:rFonts w:eastAsia="Times New Roman"/>
                <w:color w:val="000000"/>
                <w:lang w:val="en-GB" w:eastAsia="de-DE"/>
              </w:rPr>
            </w:pPr>
            <w:r w:rsidRPr="008308EB">
              <w:rPr>
                <w:rFonts w:eastAsia="Times New Roman"/>
                <w:color w:val="000000"/>
                <w:lang w:val="en-GB" w:eastAsia="de-DE"/>
              </w:rPr>
              <w:t>Risk analysis including control measures</w:t>
            </w:r>
          </w:p>
          <w:p w14:paraId="0732AD3B" w14:textId="77777777" w:rsidR="008308EB" w:rsidRDefault="008308EB" w:rsidP="00161865">
            <w:pPr>
              <w:pStyle w:val="Listenabsatz"/>
              <w:numPr>
                <w:ilvl w:val="0"/>
                <w:numId w:val="19"/>
              </w:numPr>
              <w:adjustRightInd/>
              <w:spacing w:after="0" w:line="240" w:lineRule="auto"/>
              <w:ind w:right="0"/>
              <w:rPr>
                <w:rFonts w:eastAsia="Times New Roman"/>
                <w:color w:val="000000"/>
                <w:lang w:val="en-GB" w:eastAsia="de-DE"/>
              </w:rPr>
            </w:pPr>
            <w:r w:rsidRPr="008308EB">
              <w:rPr>
                <w:rFonts w:eastAsia="Times New Roman"/>
                <w:color w:val="000000"/>
                <w:lang w:val="en-GB" w:eastAsia="de-DE"/>
              </w:rPr>
              <w:t>Risk management report including evaluation of residual risks and the benefit-risk analysis</w:t>
            </w:r>
          </w:p>
          <w:p w14:paraId="5263324E" w14:textId="3D168678" w:rsidR="008308EB" w:rsidRPr="008308EB" w:rsidRDefault="008308EB"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If the plan and report are not self-explanatory, a copy of the relevant risk management procedure(s) should be provided</w:t>
            </w:r>
            <w:r>
              <w:rPr>
                <w:rFonts w:eastAsia="Times New Roman"/>
                <w:color w:val="000000"/>
                <w:lang w:val="en-GB" w:eastAsia="de-DE"/>
              </w:rPr>
              <w:t>.</w:t>
            </w:r>
          </w:p>
        </w:tc>
        <w:tc>
          <w:tcPr>
            <w:tcW w:w="1014" w:type="dxa"/>
            <w:shd w:val="clear" w:color="000000" w:fill="FFFFFF"/>
            <w:noWrap/>
            <w:vAlign w:val="center"/>
          </w:tcPr>
          <w:p w14:paraId="428DB2D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112365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53BAAD4"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2BBCB2D" w14:textId="6721580C"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76C9CA6D" w14:textId="77777777" w:rsidTr="00161865">
        <w:trPr>
          <w:trHeight w:val="561"/>
        </w:trPr>
        <w:tc>
          <w:tcPr>
            <w:tcW w:w="715" w:type="dxa"/>
            <w:shd w:val="clear" w:color="auto" w:fill="EFF9FF"/>
            <w:noWrap/>
            <w:vAlign w:val="center"/>
          </w:tcPr>
          <w:p w14:paraId="2F84A618" w14:textId="0DD2FF35"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5.</w:t>
            </w:r>
            <w:r w:rsidR="008308EB">
              <w:rPr>
                <w:rFonts w:eastAsia="Times New Roman" w:cs="Calibri"/>
                <w:b/>
                <w:bCs/>
                <w:color w:val="000000"/>
                <w:lang w:val="en-GB" w:eastAsia="de-DE"/>
              </w:rPr>
              <w:t>2</w:t>
            </w:r>
          </w:p>
        </w:tc>
        <w:tc>
          <w:tcPr>
            <w:tcW w:w="4955" w:type="dxa"/>
            <w:shd w:val="clear" w:color="auto" w:fill="EFF9FF"/>
            <w:noWrap/>
            <w:vAlign w:val="center"/>
          </w:tcPr>
          <w:p w14:paraId="0EE4A630" w14:textId="43CA62F9" w:rsidR="00C57D72" w:rsidRPr="007E20B6" w:rsidRDefault="00C57D72" w:rsidP="00161865">
            <w:pPr>
              <w:adjustRightInd/>
              <w:spacing w:after="0" w:line="240" w:lineRule="auto"/>
              <w:ind w:right="0"/>
              <w:rPr>
                <w:rFonts w:eastAsia="Times New Roman"/>
                <w:b/>
                <w:bCs/>
                <w:color w:val="000000"/>
                <w:lang w:val="en-GB" w:eastAsia="de-DE"/>
              </w:rPr>
            </w:pPr>
            <w:r w:rsidRPr="007B71AD">
              <w:rPr>
                <w:rFonts w:eastAsia="Times New Roman"/>
                <w:b/>
                <w:bCs/>
                <w:color w:val="000000"/>
                <w:lang w:val="en-GB" w:eastAsia="de-DE"/>
              </w:rPr>
              <w:t>Specific Usability Risks (only for Self-Testing / Near-Patient Testing)</w:t>
            </w:r>
          </w:p>
        </w:tc>
        <w:tc>
          <w:tcPr>
            <w:tcW w:w="1014" w:type="dxa"/>
            <w:shd w:val="clear" w:color="auto" w:fill="EFF9FF"/>
            <w:noWrap/>
            <w:vAlign w:val="center"/>
          </w:tcPr>
          <w:p w14:paraId="74C82D2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3E78B6A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11D3AC90"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38036F18" w14:textId="5D15365E"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6F40B253" w14:textId="77777777" w:rsidTr="00161865">
        <w:trPr>
          <w:trHeight w:val="561"/>
        </w:trPr>
        <w:tc>
          <w:tcPr>
            <w:tcW w:w="715" w:type="dxa"/>
            <w:shd w:val="clear" w:color="000000" w:fill="FFFFFF"/>
            <w:noWrap/>
            <w:vAlign w:val="center"/>
          </w:tcPr>
          <w:p w14:paraId="548B1A14"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1449500A" w14:textId="77777777" w:rsidR="00C57D72" w:rsidRPr="007B71AD"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The risk files should specifically address risks with regards to usability related to self-testing or near-patient testing.</w:t>
            </w:r>
          </w:p>
          <w:p w14:paraId="5B903A44" w14:textId="2BE446DB" w:rsidR="00C57D72"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All known and foreseeable hazards associated with layman / near-patient use must be identified.</w:t>
            </w:r>
          </w:p>
          <w:p w14:paraId="6F7F0AB6" w14:textId="77777777" w:rsidR="00C57D72" w:rsidRPr="007B71AD" w:rsidRDefault="00C57D72" w:rsidP="00161865">
            <w:pPr>
              <w:adjustRightInd/>
              <w:spacing w:after="0" w:line="240" w:lineRule="auto"/>
              <w:ind w:right="0"/>
              <w:rPr>
                <w:rFonts w:eastAsia="Times New Roman"/>
                <w:color w:val="000000"/>
                <w:lang w:val="en-GB" w:eastAsia="de-DE"/>
              </w:rPr>
            </w:pPr>
          </w:p>
          <w:p w14:paraId="05141AC4" w14:textId="3990B98A" w:rsidR="00C57D72"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All risks associated with these hazards occurring during intended use and during reasonable foreseeably misuse must be estimated and evaluated.</w:t>
            </w:r>
          </w:p>
          <w:p w14:paraId="002AC2AC" w14:textId="77777777" w:rsidR="00C57D72" w:rsidRPr="007B71AD" w:rsidRDefault="00C57D72" w:rsidP="00161865">
            <w:pPr>
              <w:adjustRightInd/>
              <w:spacing w:after="0" w:line="240" w:lineRule="auto"/>
              <w:ind w:right="0"/>
              <w:rPr>
                <w:rFonts w:eastAsia="Times New Roman"/>
                <w:color w:val="000000"/>
                <w:lang w:val="en-GB" w:eastAsia="de-DE"/>
              </w:rPr>
            </w:pPr>
          </w:p>
          <w:p w14:paraId="6F781703" w14:textId="037AE44E" w:rsidR="00C57D72" w:rsidRPr="007B71AD"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 xml:space="preserve">Risk control measures related to use error conform to safety principles, taking account of the generally acknowledged state of the art. Risks related to the ergonomic features of the device and the environment in which the device is intended to be </w:t>
            </w:r>
          </w:p>
          <w:p w14:paraId="62C81237" w14:textId="77777777" w:rsidR="00C57D72"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used must be reduced as far as possible.</w:t>
            </w:r>
          </w:p>
          <w:p w14:paraId="46C9499D" w14:textId="77777777" w:rsidR="00C57D72" w:rsidRDefault="00C57D72" w:rsidP="00161865">
            <w:pPr>
              <w:adjustRightInd/>
              <w:spacing w:after="0" w:line="240" w:lineRule="auto"/>
              <w:ind w:right="0"/>
              <w:rPr>
                <w:rFonts w:eastAsia="Times New Roman"/>
                <w:color w:val="000000"/>
                <w:lang w:val="en-GB" w:eastAsia="de-DE"/>
              </w:rPr>
            </w:pPr>
          </w:p>
          <w:p w14:paraId="456EA3B3" w14:textId="306FA993" w:rsidR="00C57D72" w:rsidRPr="007B71AD" w:rsidRDefault="00C57D72" w:rsidP="00161865">
            <w:pPr>
              <w:adjustRightInd/>
              <w:spacing w:after="0" w:line="240" w:lineRule="auto"/>
              <w:ind w:right="0"/>
              <w:rPr>
                <w:rFonts w:eastAsia="Times New Roman"/>
                <w:color w:val="000000"/>
                <w:lang w:val="en-GB" w:eastAsia="de-DE"/>
              </w:rPr>
            </w:pPr>
            <w:r w:rsidRPr="007B71AD">
              <w:rPr>
                <w:rFonts w:eastAsia="Times New Roman"/>
                <w:color w:val="000000"/>
                <w:lang w:val="en-GB" w:eastAsia="de-DE"/>
              </w:rPr>
              <w:t>The technical knowledge, experience, education, training and use environment must be considered.</w:t>
            </w:r>
          </w:p>
          <w:p w14:paraId="777459A3" w14:textId="408AE79D" w:rsidR="00C57D72" w:rsidRPr="007B71AD" w:rsidRDefault="00C57D72" w:rsidP="00161865">
            <w:pPr>
              <w:adjustRightInd/>
              <w:spacing w:after="0" w:line="240" w:lineRule="auto"/>
              <w:ind w:right="0"/>
              <w:rPr>
                <w:rFonts w:eastAsia="Times New Roman"/>
                <w:b/>
                <w:bCs/>
                <w:color w:val="000000"/>
                <w:lang w:val="en-GB" w:eastAsia="de-DE"/>
              </w:rPr>
            </w:pPr>
            <w:r w:rsidRPr="007B71AD">
              <w:rPr>
                <w:rFonts w:eastAsia="Times New Roman"/>
                <w:color w:val="000000"/>
                <w:lang w:val="en-GB" w:eastAsia="de-DE"/>
              </w:rPr>
              <w:t>The medical and physical conditions of intended users must be considered.</w:t>
            </w:r>
          </w:p>
        </w:tc>
        <w:tc>
          <w:tcPr>
            <w:tcW w:w="1014" w:type="dxa"/>
            <w:shd w:val="clear" w:color="000000" w:fill="FFFFFF"/>
            <w:noWrap/>
            <w:vAlign w:val="center"/>
          </w:tcPr>
          <w:p w14:paraId="459FC36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1D17B2DD"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5BE94E9"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31359277" w14:textId="008FBFD2"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78E8FC28" w14:textId="77777777" w:rsidTr="00161865">
        <w:trPr>
          <w:trHeight w:val="561"/>
        </w:trPr>
        <w:tc>
          <w:tcPr>
            <w:tcW w:w="715" w:type="dxa"/>
            <w:shd w:val="clear" w:color="auto" w:fill="CCECFF"/>
            <w:noWrap/>
            <w:vAlign w:val="center"/>
          </w:tcPr>
          <w:p w14:paraId="58922D1A" w14:textId="27690B41"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p>
        </w:tc>
        <w:tc>
          <w:tcPr>
            <w:tcW w:w="13318" w:type="dxa"/>
            <w:gridSpan w:val="5"/>
            <w:shd w:val="clear" w:color="auto" w:fill="CCECFF"/>
            <w:vAlign w:val="center"/>
          </w:tcPr>
          <w:p w14:paraId="6680DE9C" w14:textId="02414A0B" w:rsidR="00C57D72" w:rsidRPr="00BC7A1F" w:rsidRDefault="008308EB" w:rsidP="00161865">
            <w:pPr>
              <w:adjustRightInd/>
              <w:spacing w:after="0" w:line="240" w:lineRule="auto"/>
              <w:ind w:right="0"/>
              <w:rPr>
                <w:rStyle w:val="Fett"/>
              </w:rPr>
            </w:pPr>
            <w:proofErr w:type="spellStart"/>
            <w:r w:rsidRPr="00BC7A1F">
              <w:rPr>
                <w:rStyle w:val="Fett"/>
                <w:b w:val="0"/>
                <w:bCs w:val="0"/>
              </w:rPr>
              <w:t>Product</w:t>
            </w:r>
            <w:proofErr w:type="spellEnd"/>
            <w:r w:rsidRPr="00BC7A1F">
              <w:rPr>
                <w:rStyle w:val="Fett"/>
                <w:b w:val="0"/>
                <w:bCs w:val="0"/>
              </w:rPr>
              <w:t xml:space="preserve"> </w:t>
            </w:r>
            <w:proofErr w:type="spellStart"/>
            <w:r w:rsidRPr="00BC7A1F">
              <w:rPr>
                <w:rStyle w:val="Fett"/>
                <w:b w:val="0"/>
                <w:bCs w:val="0"/>
              </w:rPr>
              <w:t>Verification</w:t>
            </w:r>
            <w:proofErr w:type="spellEnd"/>
            <w:r w:rsidRPr="00BC7A1F">
              <w:rPr>
                <w:rStyle w:val="Fett"/>
                <w:b w:val="0"/>
                <w:bCs w:val="0"/>
              </w:rPr>
              <w:t xml:space="preserve"> and Validation</w:t>
            </w:r>
          </w:p>
        </w:tc>
      </w:tr>
      <w:tr w:rsidR="00C57D72" w:rsidRPr="00AF7A73" w14:paraId="001511D6" w14:textId="77777777" w:rsidTr="00161865">
        <w:trPr>
          <w:trHeight w:val="561"/>
        </w:trPr>
        <w:tc>
          <w:tcPr>
            <w:tcW w:w="715" w:type="dxa"/>
            <w:shd w:val="clear" w:color="000000" w:fill="FFFFFF"/>
            <w:noWrap/>
            <w:vAlign w:val="center"/>
          </w:tcPr>
          <w:p w14:paraId="28943567"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58D188AF" w14:textId="7D1A11EE" w:rsidR="00C57D72" w:rsidRPr="00B34E00" w:rsidRDefault="00C57D72" w:rsidP="00161865">
            <w:pPr>
              <w:adjustRightInd/>
              <w:spacing w:after="0" w:line="240" w:lineRule="auto"/>
              <w:ind w:right="0"/>
              <w:rPr>
                <w:rFonts w:eastAsia="Times New Roman"/>
                <w:color w:val="000000"/>
                <w:lang w:val="en-GB" w:eastAsia="de-DE"/>
              </w:rPr>
            </w:pPr>
            <w:r w:rsidRPr="00B34E00">
              <w:rPr>
                <w:rFonts w:eastAsia="Times New Roman"/>
                <w:color w:val="000000"/>
                <w:lang w:val="en-GB" w:eastAsia="de-DE"/>
              </w:rPr>
              <w:t>All verification and validation documents in the sections below shall at a minimum comprise a plan, including acceptance criteria and a rationale for sample size, and a report that analyses and summarised the results.</w:t>
            </w:r>
            <w:r w:rsidR="00FA005A">
              <w:rPr>
                <w:rFonts w:eastAsia="Times New Roman"/>
                <w:color w:val="000000"/>
                <w:lang w:val="en-GB" w:eastAsia="de-DE"/>
              </w:rPr>
              <w:t xml:space="preserve"> For non-applicability a justification shall be submitted.</w:t>
            </w:r>
          </w:p>
        </w:tc>
        <w:tc>
          <w:tcPr>
            <w:tcW w:w="1014" w:type="dxa"/>
            <w:shd w:val="clear" w:color="000000" w:fill="FFFFFF"/>
            <w:noWrap/>
            <w:vAlign w:val="center"/>
          </w:tcPr>
          <w:p w14:paraId="79757A5C"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AE424F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5953326"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0D6BEAA2" w14:textId="5E261234" w:rsidR="00C57D72" w:rsidRPr="004C3A94" w:rsidRDefault="00C57D72" w:rsidP="00161865">
            <w:pPr>
              <w:adjustRightInd/>
              <w:spacing w:after="0" w:line="240" w:lineRule="auto"/>
              <w:ind w:right="0"/>
              <w:rPr>
                <w:rFonts w:eastAsia="Times New Roman" w:cs="Calibri"/>
                <w:color w:val="000000"/>
                <w:lang w:val="en-GB" w:eastAsia="de-DE"/>
              </w:rPr>
            </w:pPr>
          </w:p>
        </w:tc>
      </w:tr>
      <w:tr w:rsidR="00FA005A" w:rsidRPr="00AF7A73" w14:paraId="42664088" w14:textId="77777777" w:rsidTr="00161865">
        <w:trPr>
          <w:trHeight w:val="561"/>
        </w:trPr>
        <w:tc>
          <w:tcPr>
            <w:tcW w:w="715" w:type="dxa"/>
            <w:shd w:val="clear" w:color="auto" w:fill="EFF9FF"/>
            <w:noWrap/>
            <w:vAlign w:val="center"/>
          </w:tcPr>
          <w:p w14:paraId="6CF1F848" w14:textId="43C97D12" w:rsidR="00FA005A" w:rsidRPr="00A0478D" w:rsidRDefault="00FA005A"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6.1</w:t>
            </w:r>
          </w:p>
        </w:tc>
        <w:tc>
          <w:tcPr>
            <w:tcW w:w="4955" w:type="dxa"/>
            <w:shd w:val="clear" w:color="auto" w:fill="EFF9FF"/>
            <w:noWrap/>
            <w:vAlign w:val="center"/>
          </w:tcPr>
          <w:p w14:paraId="19CECE0E" w14:textId="12FC4BBD" w:rsidR="00FA005A" w:rsidRPr="00FA005A" w:rsidRDefault="00FA005A" w:rsidP="00161865">
            <w:pPr>
              <w:adjustRightInd/>
              <w:spacing w:after="0" w:line="240" w:lineRule="auto"/>
              <w:ind w:right="0"/>
              <w:rPr>
                <w:rFonts w:eastAsia="Times New Roman"/>
                <w:b/>
                <w:bCs/>
                <w:color w:val="000000"/>
                <w:lang w:val="en-GB" w:eastAsia="de-DE"/>
              </w:rPr>
            </w:pPr>
            <w:r w:rsidRPr="00FA005A">
              <w:rPr>
                <w:rFonts w:eastAsia="Times New Roman"/>
                <w:b/>
                <w:bCs/>
                <w:color w:val="000000"/>
                <w:lang w:val="en-GB" w:eastAsia="de-DE"/>
              </w:rPr>
              <w:t>Analytical Performance</w:t>
            </w:r>
          </w:p>
        </w:tc>
        <w:tc>
          <w:tcPr>
            <w:tcW w:w="1014" w:type="dxa"/>
            <w:shd w:val="clear" w:color="auto" w:fill="EFF9FF"/>
            <w:noWrap/>
            <w:vAlign w:val="center"/>
          </w:tcPr>
          <w:p w14:paraId="2DC3B824" w14:textId="77777777" w:rsidR="00FA005A" w:rsidRPr="004C3A94" w:rsidRDefault="00FA005A"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487C1ABD" w14:textId="77777777" w:rsidR="00FA005A" w:rsidRPr="004C3A94" w:rsidRDefault="00FA005A"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5C1AA072" w14:textId="77777777" w:rsidR="00FA005A" w:rsidRPr="004C3A94" w:rsidRDefault="00FA005A"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048A22D0" w14:textId="77777777" w:rsidR="00FA005A" w:rsidRPr="004C3A94" w:rsidRDefault="00FA005A" w:rsidP="00161865">
            <w:pPr>
              <w:adjustRightInd/>
              <w:spacing w:after="0" w:line="240" w:lineRule="auto"/>
              <w:ind w:right="0"/>
              <w:rPr>
                <w:rFonts w:eastAsia="Times New Roman" w:cs="Calibri"/>
                <w:color w:val="000000"/>
                <w:lang w:val="en-GB" w:eastAsia="de-DE"/>
              </w:rPr>
            </w:pPr>
          </w:p>
        </w:tc>
      </w:tr>
      <w:tr w:rsidR="00C57D72" w:rsidRPr="00AF7A73" w14:paraId="65613DC0" w14:textId="77777777" w:rsidTr="00161865">
        <w:trPr>
          <w:trHeight w:val="561"/>
        </w:trPr>
        <w:tc>
          <w:tcPr>
            <w:tcW w:w="715" w:type="dxa"/>
            <w:shd w:val="clear" w:color="000000" w:fill="FFFFFF"/>
            <w:noWrap/>
            <w:vAlign w:val="center"/>
          </w:tcPr>
          <w:p w14:paraId="0552C793" w14:textId="63107D04"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6.1</w:t>
            </w:r>
            <w:r w:rsidR="00FA005A">
              <w:rPr>
                <w:rFonts w:eastAsia="Times New Roman" w:cs="Calibri"/>
                <w:b/>
                <w:bCs/>
                <w:color w:val="000000"/>
                <w:lang w:val="en-GB" w:eastAsia="de-DE"/>
              </w:rPr>
              <w:t>.1</w:t>
            </w:r>
          </w:p>
        </w:tc>
        <w:tc>
          <w:tcPr>
            <w:tcW w:w="4955" w:type="dxa"/>
            <w:shd w:val="clear" w:color="000000" w:fill="FFFFFF"/>
            <w:noWrap/>
            <w:vAlign w:val="center"/>
          </w:tcPr>
          <w:p w14:paraId="53BF1696" w14:textId="0F82652D" w:rsidR="00C57D72" w:rsidRPr="007B71AD" w:rsidRDefault="00C57D72" w:rsidP="00161865">
            <w:pPr>
              <w:adjustRightInd/>
              <w:spacing w:after="0" w:line="240" w:lineRule="auto"/>
              <w:ind w:right="0"/>
              <w:rPr>
                <w:rFonts w:eastAsia="Times New Roman"/>
                <w:b/>
                <w:bCs/>
                <w:color w:val="000000"/>
                <w:lang w:val="en-GB" w:eastAsia="de-DE"/>
              </w:rPr>
            </w:pPr>
            <w:r w:rsidRPr="00B34E00">
              <w:rPr>
                <w:rFonts w:eastAsia="Times New Roman"/>
                <w:b/>
                <w:bCs/>
                <w:color w:val="000000"/>
                <w:lang w:val="en-GB" w:eastAsia="de-DE"/>
              </w:rPr>
              <w:t>Specimen Type / Handling</w:t>
            </w:r>
          </w:p>
        </w:tc>
        <w:tc>
          <w:tcPr>
            <w:tcW w:w="1014" w:type="dxa"/>
            <w:shd w:val="clear" w:color="000000" w:fill="FFFFFF"/>
            <w:noWrap/>
            <w:vAlign w:val="center"/>
          </w:tcPr>
          <w:p w14:paraId="64D25D9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55C8526"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3A35B453"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96CFE35" w14:textId="77D825F9"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17721DCA" w14:textId="77777777" w:rsidTr="00161865">
        <w:trPr>
          <w:trHeight w:val="561"/>
        </w:trPr>
        <w:tc>
          <w:tcPr>
            <w:tcW w:w="715" w:type="dxa"/>
            <w:shd w:val="clear" w:color="000000" w:fill="FFFFFF"/>
            <w:noWrap/>
            <w:vAlign w:val="center"/>
          </w:tcPr>
          <w:p w14:paraId="465ED28D"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71402039" w14:textId="77777777" w:rsidR="00C57D72" w:rsidRPr="00B34E00" w:rsidRDefault="00C57D72" w:rsidP="00161865">
            <w:pPr>
              <w:adjustRightInd/>
              <w:spacing w:after="0" w:line="240" w:lineRule="auto"/>
              <w:ind w:right="0"/>
              <w:rPr>
                <w:rFonts w:eastAsia="Times New Roman"/>
                <w:color w:val="000000"/>
                <w:lang w:val="en-GB" w:eastAsia="de-DE"/>
              </w:rPr>
            </w:pPr>
            <w:r w:rsidRPr="00B34E00">
              <w:rPr>
                <w:rFonts w:eastAsia="Times New Roman"/>
                <w:color w:val="000000"/>
                <w:lang w:val="en-GB" w:eastAsia="de-DE"/>
              </w:rPr>
              <w:t>A description of specimen type and handling, including, where applicable:</w:t>
            </w:r>
          </w:p>
          <w:p w14:paraId="41AB8AC9" w14:textId="77777777" w:rsidR="00C57D72" w:rsidRPr="00B34E00" w:rsidRDefault="00C57D72" w:rsidP="00161865">
            <w:pPr>
              <w:pStyle w:val="Listenabsatz"/>
              <w:numPr>
                <w:ilvl w:val="0"/>
                <w:numId w:val="4"/>
              </w:numPr>
              <w:adjustRightInd/>
              <w:spacing w:after="0" w:line="240" w:lineRule="auto"/>
              <w:ind w:right="0"/>
              <w:rPr>
                <w:rFonts w:eastAsia="Times New Roman"/>
                <w:color w:val="000000"/>
                <w:szCs w:val="20"/>
                <w:lang w:val="en-GB" w:eastAsia="de-DE"/>
              </w:rPr>
            </w:pPr>
            <w:r w:rsidRPr="00B34E00">
              <w:rPr>
                <w:rFonts w:eastAsia="Times New Roman"/>
                <w:color w:val="000000"/>
                <w:szCs w:val="20"/>
                <w:lang w:val="en-GB" w:eastAsia="de-DE"/>
              </w:rPr>
              <w:t>Different specimen types that can be analysed</w:t>
            </w:r>
          </w:p>
          <w:p w14:paraId="2AEC26E3" w14:textId="6C2EC6E0" w:rsidR="00C57D72" w:rsidRPr="00B34E00" w:rsidRDefault="00C57D72" w:rsidP="00161865">
            <w:pPr>
              <w:pStyle w:val="Listenabsatz"/>
              <w:numPr>
                <w:ilvl w:val="0"/>
                <w:numId w:val="4"/>
              </w:numPr>
              <w:adjustRightInd/>
              <w:spacing w:after="0" w:line="240" w:lineRule="auto"/>
              <w:ind w:right="0"/>
              <w:rPr>
                <w:rFonts w:eastAsia="Times New Roman"/>
                <w:color w:val="000000"/>
                <w:szCs w:val="20"/>
                <w:lang w:val="en-GB" w:eastAsia="de-DE"/>
              </w:rPr>
            </w:pPr>
            <w:r w:rsidRPr="00B34E00">
              <w:rPr>
                <w:rFonts w:eastAsia="Times New Roman"/>
                <w:color w:val="000000"/>
                <w:szCs w:val="20"/>
                <w:lang w:val="en-GB" w:eastAsia="de-DE"/>
              </w:rPr>
              <w:t>Determination of appropriate criteria for specimen collection and handling, stability, storage,</w:t>
            </w:r>
            <w:r w:rsidR="00FA005A">
              <w:rPr>
                <w:rFonts w:eastAsia="Times New Roman"/>
                <w:color w:val="000000"/>
                <w:szCs w:val="20"/>
                <w:lang w:val="en-GB" w:eastAsia="de-DE"/>
              </w:rPr>
              <w:t xml:space="preserve"> </w:t>
            </w:r>
            <w:r w:rsidRPr="00B34E00">
              <w:rPr>
                <w:rFonts w:eastAsia="Times New Roman"/>
                <w:color w:val="000000"/>
                <w:szCs w:val="20"/>
                <w:lang w:val="en-GB" w:eastAsia="de-DE"/>
              </w:rPr>
              <w:t>transport</w:t>
            </w:r>
          </w:p>
          <w:p w14:paraId="118901A6" w14:textId="77777777" w:rsidR="00C57D72" w:rsidRPr="00B34E00" w:rsidRDefault="00C57D72" w:rsidP="00161865">
            <w:pPr>
              <w:pStyle w:val="Listenabsatz"/>
              <w:numPr>
                <w:ilvl w:val="0"/>
                <w:numId w:val="4"/>
              </w:numPr>
              <w:adjustRightInd/>
              <w:spacing w:after="0" w:line="240" w:lineRule="auto"/>
              <w:ind w:right="0"/>
              <w:rPr>
                <w:rFonts w:eastAsia="Times New Roman"/>
                <w:color w:val="000000"/>
                <w:szCs w:val="20"/>
                <w:lang w:val="en-GB" w:eastAsia="de-DE"/>
              </w:rPr>
            </w:pPr>
            <w:r w:rsidRPr="00B34E00">
              <w:rPr>
                <w:rFonts w:eastAsia="Times New Roman"/>
                <w:color w:val="000000"/>
                <w:szCs w:val="20"/>
                <w:lang w:val="en-GB" w:eastAsia="de-DE"/>
              </w:rPr>
              <w:t>Usage of different anticoagulants (EDTA, Citrate, Heparin, etc.)</w:t>
            </w:r>
          </w:p>
          <w:p w14:paraId="3100C06C" w14:textId="32A06F67" w:rsidR="00C57D72" w:rsidRPr="00B34E00" w:rsidRDefault="00C57D72" w:rsidP="00161865">
            <w:pPr>
              <w:pStyle w:val="Listenabsatz"/>
              <w:numPr>
                <w:ilvl w:val="0"/>
                <w:numId w:val="4"/>
              </w:numPr>
              <w:adjustRightInd/>
              <w:spacing w:after="0" w:line="240" w:lineRule="auto"/>
              <w:ind w:right="0"/>
              <w:rPr>
                <w:rFonts w:eastAsia="Times New Roman"/>
                <w:color w:val="000000"/>
                <w:szCs w:val="20"/>
                <w:lang w:val="en-GB" w:eastAsia="de-DE"/>
              </w:rPr>
            </w:pPr>
            <w:r w:rsidRPr="00B34E00">
              <w:rPr>
                <w:rFonts w:eastAsia="Times New Roman"/>
                <w:color w:val="000000"/>
                <w:szCs w:val="20"/>
                <w:lang w:val="en-GB" w:eastAsia="de-DE"/>
              </w:rPr>
              <w:t xml:space="preserve">The influence of sample </w:t>
            </w:r>
            <w:r w:rsidR="00FA005A" w:rsidRPr="00B34E00">
              <w:rPr>
                <w:rFonts w:eastAsia="Times New Roman"/>
                <w:color w:val="000000"/>
                <w:szCs w:val="20"/>
                <w:lang w:val="en-GB" w:eastAsia="de-DE"/>
              </w:rPr>
              <w:t>pre-treatment</w:t>
            </w:r>
          </w:p>
          <w:p w14:paraId="3EC052B3" w14:textId="53B1E33F" w:rsidR="00C57D72" w:rsidRPr="00B34E00" w:rsidRDefault="00FA005A" w:rsidP="00161865">
            <w:pPr>
              <w:pStyle w:val="Listenabsatz"/>
              <w:numPr>
                <w:ilvl w:val="0"/>
                <w:numId w:val="4"/>
              </w:numPr>
              <w:adjustRightInd/>
              <w:spacing w:after="0" w:line="240" w:lineRule="auto"/>
              <w:ind w:right="0"/>
              <w:rPr>
                <w:rFonts w:eastAsia="Times New Roman"/>
                <w:color w:val="000000"/>
                <w:lang w:val="en-GB" w:eastAsia="de-DE"/>
              </w:rPr>
            </w:pPr>
            <w:r>
              <w:rPr>
                <w:rFonts w:eastAsia="Times New Roman"/>
                <w:color w:val="000000"/>
                <w:szCs w:val="20"/>
                <w:lang w:val="en-GB" w:eastAsia="de-DE"/>
              </w:rPr>
              <w:t xml:space="preserve">For </w:t>
            </w:r>
            <w:r w:rsidRPr="00FA005A">
              <w:rPr>
                <w:rFonts w:eastAsia="Times New Roman"/>
                <w:color w:val="000000"/>
                <w:szCs w:val="20"/>
                <w:lang w:val="en-GB" w:eastAsia="de-DE"/>
              </w:rPr>
              <w:t>time-critical analysis methods, information on the timeframe between taking the specimen and its analysis and storage conditions such as duration, temperature limits and freeze/thaw cycles.</w:t>
            </w:r>
          </w:p>
        </w:tc>
        <w:tc>
          <w:tcPr>
            <w:tcW w:w="1014" w:type="dxa"/>
            <w:shd w:val="clear" w:color="000000" w:fill="FFFFFF"/>
            <w:noWrap/>
            <w:vAlign w:val="center"/>
          </w:tcPr>
          <w:p w14:paraId="733170F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AC6DE8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7279EE6"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A5419E4" w14:textId="39539929"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27C5C285" w14:textId="77777777" w:rsidTr="00161865">
        <w:trPr>
          <w:trHeight w:val="561"/>
        </w:trPr>
        <w:tc>
          <w:tcPr>
            <w:tcW w:w="715" w:type="dxa"/>
            <w:shd w:val="clear" w:color="000000" w:fill="FFFFFF"/>
            <w:noWrap/>
            <w:vAlign w:val="center"/>
          </w:tcPr>
          <w:p w14:paraId="361EC271" w14:textId="27FF9B9F"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lastRenderedPageBreak/>
              <w:t>6.</w:t>
            </w:r>
            <w:r w:rsidR="00FA005A">
              <w:rPr>
                <w:rFonts w:eastAsia="Times New Roman" w:cs="Calibri"/>
                <w:b/>
                <w:bCs/>
                <w:color w:val="000000"/>
                <w:lang w:val="en-GB" w:eastAsia="de-DE"/>
              </w:rPr>
              <w:t>1.</w:t>
            </w:r>
            <w:r w:rsidRPr="00A0478D">
              <w:rPr>
                <w:rFonts w:eastAsia="Times New Roman" w:cs="Calibri"/>
                <w:b/>
                <w:bCs/>
                <w:color w:val="000000"/>
                <w:lang w:val="en-GB" w:eastAsia="de-DE"/>
              </w:rPr>
              <w:t>2</w:t>
            </w:r>
          </w:p>
        </w:tc>
        <w:tc>
          <w:tcPr>
            <w:tcW w:w="4955" w:type="dxa"/>
            <w:shd w:val="clear" w:color="000000" w:fill="FFFFFF"/>
            <w:noWrap/>
            <w:vAlign w:val="center"/>
          </w:tcPr>
          <w:p w14:paraId="55163434" w14:textId="5C7BCA83" w:rsidR="00C57D72" w:rsidRPr="007B71AD" w:rsidRDefault="00C57D72" w:rsidP="00161865">
            <w:pPr>
              <w:adjustRightInd/>
              <w:spacing w:after="0" w:line="240" w:lineRule="auto"/>
              <w:ind w:right="0"/>
              <w:rPr>
                <w:rFonts w:eastAsia="Times New Roman"/>
                <w:b/>
                <w:bCs/>
                <w:color w:val="000000"/>
                <w:lang w:val="en-GB" w:eastAsia="de-DE"/>
              </w:rPr>
            </w:pPr>
            <w:r w:rsidRPr="00B34E00">
              <w:rPr>
                <w:rFonts w:eastAsia="Times New Roman"/>
                <w:b/>
                <w:bCs/>
                <w:color w:val="000000"/>
                <w:lang w:val="en-GB" w:eastAsia="de-DE"/>
              </w:rPr>
              <w:t>Analytical Performance</w:t>
            </w:r>
          </w:p>
        </w:tc>
        <w:tc>
          <w:tcPr>
            <w:tcW w:w="1014" w:type="dxa"/>
            <w:shd w:val="clear" w:color="000000" w:fill="FFFFFF"/>
            <w:noWrap/>
            <w:vAlign w:val="center"/>
          </w:tcPr>
          <w:p w14:paraId="4FDD8FD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1E4535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038F932"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F5D4250" w14:textId="2607B1B3"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6136EB90" w14:textId="77777777" w:rsidTr="00161865">
        <w:trPr>
          <w:trHeight w:val="561"/>
        </w:trPr>
        <w:tc>
          <w:tcPr>
            <w:tcW w:w="715" w:type="dxa"/>
            <w:shd w:val="clear" w:color="000000" w:fill="FFFFFF"/>
            <w:noWrap/>
            <w:vAlign w:val="center"/>
          </w:tcPr>
          <w:p w14:paraId="4C332FF6"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7F83CCAA" w14:textId="77777777" w:rsidR="00C57D72" w:rsidRPr="00203D59" w:rsidRDefault="00C57D72" w:rsidP="00161865">
            <w:pPr>
              <w:adjustRightInd/>
              <w:spacing w:after="0" w:line="240" w:lineRule="auto"/>
              <w:ind w:right="0"/>
              <w:rPr>
                <w:rFonts w:eastAsia="Times New Roman"/>
                <w:color w:val="000000"/>
                <w:lang w:val="en-GB" w:eastAsia="de-DE"/>
              </w:rPr>
            </w:pPr>
            <w:r w:rsidRPr="00203D59">
              <w:rPr>
                <w:rFonts w:eastAsia="Times New Roman"/>
                <w:color w:val="000000"/>
                <w:lang w:val="en-GB" w:eastAsia="de-DE"/>
              </w:rPr>
              <w:t>The analytical performance shall contain at a minimum, where applicable:</w:t>
            </w:r>
          </w:p>
          <w:p w14:paraId="3F2E2A11" w14:textId="77777777" w:rsidR="00C57D72" w:rsidRPr="00203D59" w:rsidRDefault="00C57D72" w:rsidP="00161865">
            <w:pPr>
              <w:pStyle w:val="Listenabsatz"/>
              <w:numPr>
                <w:ilvl w:val="0"/>
                <w:numId w:val="5"/>
              </w:numPr>
              <w:adjustRightInd/>
              <w:spacing w:after="0" w:line="240" w:lineRule="auto"/>
              <w:ind w:right="0"/>
              <w:rPr>
                <w:rFonts w:eastAsia="Times New Roman"/>
                <w:color w:val="000000"/>
                <w:sz w:val="16"/>
                <w:lang w:val="en-GB" w:eastAsia="de-DE"/>
              </w:rPr>
            </w:pPr>
            <w:r w:rsidRPr="00203D59">
              <w:rPr>
                <w:rFonts w:eastAsia="Times New Roman"/>
                <w:color w:val="000000"/>
                <w:szCs w:val="20"/>
                <w:lang w:val="en-GB" w:eastAsia="de-DE"/>
              </w:rPr>
              <w:t>Accuracy and precision of measurement</w:t>
            </w:r>
          </w:p>
          <w:p w14:paraId="52DE4454" w14:textId="6633CAED" w:rsidR="00C57D72" w:rsidRPr="00203D59" w:rsidRDefault="00C57D72" w:rsidP="00161865">
            <w:pPr>
              <w:pStyle w:val="Listenabsatz"/>
              <w:numPr>
                <w:ilvl w:val="1"/>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The intra- and inter-assay-precision. The samples should be representative and cover different levels</w:t>
            </w:r>
            <w:r>
              <w:rPr>
                <w:rFonts w:eastAsia="Times New Roman"/>
                <w:color w:val="000000"/>
                <w:szCs w:val="20"/>
                <w:lang w:val="en-GB" w:eastAsia="de-DE"/>
              </w:rPr>
              <w:t xml:space="preserve"> </w:t>
            </w:r>
            <w:r w:rsidRPr="00203D59">
              <w:rPr>
                <w:rFonts w:eastAsia="Times New Roman"/>
                <w:color w:val="000000"/>
                <w:szCs w:val="20"/>
                <w:lang w:val="en-GB" w:eastAsia="de-DE"/>
              </w:rPr>
              <w:t>of reactivity.</w:t>
            </w:r>
          </w:p>
          <w:p w14:paraId="4BFDADAE" w14:textId="77777777" w:rsidR="00C57D72" w:rsidRPr="00203D59" w:rsidRDefault="00C57D72" w:rsidP="00161865">
            <w:pPr>
              <w:pStyle w:val="Listenabsatz"/>
              <w:numPr>
                <w:ilvl w:val="0"/>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Analytical sensitivity</w:t>
            </w:r>
          </w:p>
          <w:p w14:paraId="11BF2B83" w14:textId="77777777" w:rsidR="00C57D72" w:rsidRPr="00203D59" w:rsidRDefault="00C57D72" w:rsidP="00161865">
            <w:pPr>
              <w:pStyle w:val="Listenabsatz"/>
              <w:numPr>
                <w:ilvl w:val="1"/>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Specimen type, number of replicates, concentration tested, calculation of determination of sensitivity should be clear.</w:t>
            </w:r>
          </w:p>
          <w:p w14:paraId="7B155176" w14:textId="77777777" w:rsidR="00C57D72" w:rsidRPr="00203D59" w:rsidRDefault="00C57D72" w:rsidP="00161865">
            <w:pPr>
              <w:pStyle w:val="Listenabsatz"/>
              <w:numPr>
                <w:ilvl w:val="0"/>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Analytical specificity</w:t>
            </w:r>
          </w:p>
          <w:p w14:paraId="1B67C483" w14:textId="77777777" w:rsidR="00C57D72" w:rsidRPr="00203D59" w:rsidRDefault="00C57D72" w:rsidP="00161865">
            <w:pPr>
              <w:pStyle w:val="Listenabsatz"/>
              <w:numPr>
                <w:ilvl w:val="1"/>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Interfering endogenous / exogenous substances investigated:</w:t>
            </w:r>
          </w:p>
          <w:p w14:paraId="231C755A" w14:textId="77777777" w:rsidR="005101C6" w:rsidRDefault="00C57D72" w:rsidP="00161865">
            <w:pPr>
              <w:pStyle w:val="Listenabsatz"/>
              <w:numPr>
                <w:ilvl w:val="2"/>
                <w:numId w:val="5"/>
              </w:numPr>
              <w:adjustRightInd/>
              <w:spacing w:after="0" w:line="240" w:lineRule="auto"/>
              <w:ind w:right="0"/>
              <w:rPr>
                <w:rFonts w:eastAsia="Times New Roman"/>
                <w:color w:val="000000"/>
                <w:szCs w:val="20"/>
                <w:lang w:val="en-GB" w:eastAsia="de-DE"/>
              </w:rPr>
            </w:pPr>
            <w:r w:rsidRPr="005101C6">
              <w:rPr>
                <w:rFonts w:eastAsia="Times New Roman"/>
                <w:color w:val="000000"/>
                <w:szCs w:val="20"/>
                <w:lang w:val="en-GB" w:eastAsia="de-DE"/>
              </w:rPr>
              <w:t>Substances used for patient treatment (</w:t>
            </w:r>
            <w:r w:rsidR="005101C6" w:rsidRPr="005101C6">
              <w:rPr>
                <w:rFonts w:eastAsia="Times New Roman"/>
                <w:color w:val="000000"/>
                <w:szCs w:val="20"/>
                <w:lang w:val="en-GB" w:eastAsia="de-DE"/>
              </w:rPr>
              <w:t>e.g.,</w:t>
            </w:r>
            <w:r w:rsidRPr="005101C6">
              <w:rPr>
                <w:rFonts w:eastAsia="Times New Roman"/>
                <w:color w:val="000000"/>
                <w:szCs w:val="20"/>
                <w:lang w:val="en-GB" w:eastAsia="de-DE"/>
              </w:rPr>
              <w:t xml:space="preserve"> medicinal products)</w:t>
            </w:r>
          </w:p>
          <w:p w14:paraId="5E771FF9" w14:textId="7921DCB1" w:rsidR="00C57D72" w:rsidRPr="005101C6" w:rsidRDefault="00C57D72" w:rsidP="00161865">
            <w:pPr>
              <w:pStyle w:val="Listenabsatz"/>
              <w:numPr>
                <w:ilvl w:val="2"/>
                <w:numId w:val="5"/>
              </w:numPr>
              <w:adjustRightInd/>
              <w:spacing w:after="0" w:line="240" w:lineRule="auto"/>
              <w:ind w:right="0"/>
              <w:rPr>
                <w:rFonts w:eastAsia="Times New Roman"/>
                <w:color w:val="000000"/>
                <w:szCs w:val="20"/>
                <w:lang w:val="en-GB" w:eastAsia="de-DE"/>
              </w:rPr>
            </w:pPr>
            <w:r w:rsidRPr="005101C6">
              <w:rPr>
                <w:rFonts w:eastAsia="Times New Roman"/>
                <w:color w:val="000000"/>
                <w:szCs w:val="20"/>
                <w:lang w:val="en-GB" w:eastAsia="de-DE"/>
              </w:rPr>
              <w:t>Substances ingested by patient (</w:t>
            </w:r>
            <w:r w:rsidR="005101C6" w:rsidRPr="005101C6">
              <w:rPr>
                <w:rFonts w:eastAsia="Times New Roman"/>
                <w:color w:val="000000"/>
                <w:szCs w:val="20"/>
                <w:lang w:val="en-GB" w:eastAsia="de-DE"/>
              </w:rPr>
              <w:t>e.g.,</w:t>
            </w:r>
            <w:r w:rsidRPr="005101C6">
              <w:rPr>
                <w:rFonts w:eastAsia="Times New Roman"/>
                <w:color w:val="000000"/>
                <w:szCs w:val="20"/>
                <w:lang w:val="en-GB" w:eastAsia="de-DE"/>
              </w:rPr>
              <w:t xml:space="preserve"> alcohol, food)</w:t>
            </w:r>
          </w:p>
          <w:p w14:paraId="2610A8C1" w14:textId="7AA89266" w:rsidR="00C57D72" w:rsidRPr="00203D59" w:rsidRDefault="00C57D72" w:rsidP="00161865">
            <w:pPr>
              <w:pStyle w:val="Listenabsatz"/>
              <w:numPr>
                <w:ilvl w:val="2"/>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Substances added during specimen preparation (</w:t>
            </w:r>
            <w:r w:rsidR="005101C6" w:rsidRPr="00203D59">
              <w:rPr>
                <w:rFonts w:eastAsia="Times New Roman"/>
                <w:color w:val="000000"/>
                <w:szCs w:val="20"/>
                <w:lang w:val="en-GB" w:eastAsia="de-DE"/>
              </w:rPr>
              <w:t>e.g.,</w:t>
            </w:r>
            <w:r w:rsidRPr="00203D59">
              <w:rPr>
                <w:rFonts w:eastAsia="Times New Roman"/>
                <w:color w:val="000000"/>
                <w:szCs w:val="20"/>
                <w:lang w:val="en-GB" w:eastAsia="de-DE"/>
              </w:rPr>
              <w:t xml:space="preserve"> preservatives, stabilisers)</w:t>
            </w:r>
          </w:p>
          <w:p w14:paraId="688BCB21" w14:textId="14BEA15F" w:rsidR="00C57D72" w:rsidRPr="00203D59" w:rsidRDefault="00C57D72" w:rsidP="00161865">
            <w:pPr>
              <w:pStyle w:val="Listenabsatz"/>
              <w:numPr>
                <w:ilvl w:val="2"/>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Substances encountered in specific specimen types (</w:t>
            </w:r>
            <w:r w:rsidR="005101C6" w:rsidRPr="00203D59">
              <w:rPr>
                <w:rFonts w:eastAsia="Times New Roman"/>
                <w:color w:val="000000"/>
                <w:szCs w:val="20"/>
                <w:lang w:val="en-GB" w:eastAsia="de-DE"/>
              </w:rPr>
              <w:t>e.g.,</w:t>
            </w:r>
            <w:r w:rsidRPr="00203D59">
              <w:rPr>
                <w:rFonts w:eastAsia="Times New Roman"/>
                <w:color w:val="000000"/>
                <w:szCs w:val="20"/>
                <w:lang w:val="en-GB" w:eastAsia="de-DE"/>
              </w:rPr>
              <w:t xml:space="preserve"> </w:t>
            </w:r>
            <w:proofErr w:type="spellStart"/>
            <w:r w:rsidRPr="00203D59">
              <w:rPr>
                <w:rFonts w:eastAsia="Times New Roman"/>
                <w:color w:val="000000"/>
                <w:szCs w:val="20"/>
                <w:lang w:val="en-GB" w:eastAsia="de-DE"/>
              </w:rPr>
              <w:t>hemoglobin</w:t>
            </w:r>
            <w:proofErr w:type="spellEnd"/>
            <w:r w:rsidRPr="00203D59">
              <w:rPr>
                <w:rFonts w:eastAsia="Times New Roman"/>
                <w:color w:val="000000"/>
                <w:szCs w:val="20"/>
                <w:lang w:val="en-GB" w:eastAsia="de-DE"/>
              </w:rPr>
              <w:t>, lipids, bilirubin, proteins)</w:t>
            </w:r>
          </w:p>
          <w:p w14:paraId="301464AA" w14:textId="23A8F306" w:rsidR="00C57D72" w:rsidRPr="00203D59" w:rsidRDefault="00C57D72" w:rsidP="00161865">
            <w:pPr>
              <w:pStyle w:val="Listenabsatz"/>
              <w:numPr>
                <w:ilvl w:val="2"/>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Analytes of similar structure (</w:t>
            </w:r>
            <w:r w:rsidR="005101C6" w:rsidRPr="00203D59">
              <w:rPr>
                <w:rFonts w:eastAsia="Times New Roman"/>
                <w:color w:val="000000"/>
                <w:szCs w:val="20"/>
                <w:lang w:val="en-GB" w:eastAsia="de-DE"/>
              </w:rPr>
              <w:t>e.g.,</w:t>
            </w:r>
            <w:r w:rsidRPr="00203D59">
              <w:rPr>
                <w:rFonts w:eastAsia="Times New Roman"/>
                <w:color w:val="000000"/>
                <w:szCs w:val="20"/>
                <w:lang w:val="en-GB" w:eastAsia="de-DE"/>
              </w:rPr>
              <w:t xml:space="preserve"> precursors, metabolites)</w:t>
            </w:r>
          </w:p>
          <w:p w14:paraId="51CA6BAE" w14:textId="77777777" w:rsidR="00C57D72" w:rsidRPr="00203D59" w:rsidRDefault="00C57D72" w:rsidP="00161865">
            <w:pPr>
              <w:pStyle w:val="Listenabsatz"/>
              <w:numPr>
                <w:ilvl w:val="2"/>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Typical interfering substances</w:t>
            </w:r>
          </w:p>
          <w:p w14:paraId="381A684F" w14:textId="77777777" w:rsidR="00C57D72" w:rsidRPr="00203D59" w:rsidRDefault="00C57D72" w:rsidP="00161865">
            <w:pPr>
              <w:pStyle w:val="Listenabsatz"/>
              <w:numPr>
                <w:ilvl w:val="0"/>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lastRenderedPageBreak/>
              <w:t>Metrological traceability of calibrator and control material values</w:t>
            </w:r>
          </w:p>
          <w:p w14:paraId="59E93325" w14:textId="77777777" w:rsidR="00C57D72" w:rsidRPr="00203D59" w:rsidRDefault="00C57D72" w:rsidP="00161865">
            <w:pPr>
              <w:pStyle w:val="Listenabsatz"/>
              <w:numPr>
                <w:ilvl w:val="1"/>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Measuring range of the assay</w:t>
            </w:r>
          </w:p>
          <w:p w14:paraId="44DDC40E" w14:textId="77777777" w:rsidR="00C57D72" w:rsidRPr="00203D59" w:rsidRDefault="00C57D72" w:rsidP="00161865">
            <w:pPr>
              <w:pStyle w:val="Listenabsatz"/>
              <w:numPr>
                <w:ilvl w:val="1"/>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Limits of detection and quantitation</w:t>
            </w:r>
          </w:p>
          <w:p w14:paraId="7FCD0C85" w14:textId="77777777" w:rsidR="00C57D72" w:rsidRPr="00203D59" w:rsidRDefault="00C57D72" w:rsidP="00161865">
            <w:pPr>
              <w:pStyle w:val="Listenabsatz"/>
              <w:numPr>
                <w:ilvl w:val="1"/>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Measuring range (including high dose hook effect)</w:t>
            </w:r>
          </w:p>
          <w:p w14:paraId="4CB4371D" w14:textId="77777777" w:rsidR="00C57D72" w:rsidRPr="00203D59" w:rsidRDefault="00C57D72" w:rsidP="00161865">
            <w:pPr>
              <w:pStyle w:val="Listenabsatz"/>
              <w:numPr>
                <w:ilvl w:val="1"/>
                <w:numId w:val="5"/>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Linearity</w:t>
            </w:r>
          </w:p>
          <w:p w14:paraId="62C3C5DC" w14:textId="59954FFB" w:rsidR="00C57D72" w:rsidRPr="00A47D43" w:rsidRDefault="00C57D72" w:rsidP="00161865">
            <w:pPr>
              <w:pStyle w:val="Listenabsatz"/>
              <w:numPr>
                <w:ilvl w:val="0"/>
                <w:numId w:val="5"/>
              </w:numPr>
              <w:adjustRightInd/>
              <w:spacing w:after="0" w:line="240" w:lineRule="auto"/>
              <w:ind w:right="0"/>
              <w:rPr>
                <w:rFonts w:eastAsia="Times New Roman"/>
                <w:color w:val="000000"/>
                <w:lang w:val="en-GB" w:eastAsia="de-DE"/>
              </w:rPr>
            </w:pPr>
            <w:r w:rsidRPr="00330BEA">
              <w:rPr>
                <w:rFonts w:eastAsia="Times New Roman"/>
                <w:color w:val="000000"/>
                <w:szCs w:val="20"/>
                <w:lang w:val="en-GB" w:eastAsia="de-DE"/>
              </w:rPr>
              <w:t>Definition of assay cut-off</w:t>
            </w:r>
            <w:r w:rsidR="00330BEA" w:rsidRPr="00330BEA">
              <w:rPr>
                <w:rFonts w:eastAsia="Times New Roman"/>
                <w:color w:val="000000"/>
                <w:szCs w:val="20"/>
                <w:lang w:val="en-GB" w:eastAsia="de-DE"/>
              </w:rPr>
              <w:t xml:space="preserve"> </w:t>
            </w:r>
            <w:r w:rsidR="00330BEA">
              <w:rPr>
                <w:rFonts w:eastAsia="Times New Roman"/>
                <w:color w:val="000000"/>
                <w:szCs w:val="20"/>
                <w:lang w:val="en-GB" w:eastAsia="de-DE"/>
              </w:rPr>
              <w:t>i</w:t>
            </w:r>
            <w:r w:rsidRPr="00330BEA">
              <w:rPr>
                <w:rFonts w:eastAsia="Times New Roman"/>
                <w:color w:val="000000"/>
                <w:lang w:val="en-GB" w:eastAsia="de-DE"/>
              </w:rPr>
              <w:t>ncluding description of study design, populations studies, method / mode of specimen characterisation, statistical methods.</w:t>
            </w:r>
          </w:p>
        </w:tc>
        <w:tc>
          <w:tcPr>
            <w:tcW w:w="1014" w:type="dxa"/>
            <w:shd w:val="clear" w:color="000000" w:fill="FFFFFF"/>
            <w:noWrap/>
            <w:vAlign w:val="center"/>
          </w:tcPr>
          <w:p w14:paraId="0B8A6C6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86E73D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531E92B"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05E6AE1" w14:textId="74BCAC7B" w:rsidR="00C57D72" w:rsidRPr="004C3A94" w:rsidRDefault="00C57D72" w:rsidP="00161865">
            <w:pPr>
              <w:adjustRightInd/>
              <w:spacing w:after="0" w:line="240" w:lineRule="auto"/>
              <w:ind w:right="0"/>
              <w:rPr>
                <w:rFonts w:eastAsia="Times New Roman" w:cs="Calibri"/>
                <w:color w:val="000000"/>
                <w:lang w:val="en-GB" w:eastAsia="de-DE"/>
              </w:rPr>
            </w:pPr>
          </w:p>
        </w:tc>
      </w:tr>
      <w:tr w:rsidR="00A47D43" w:rsidRPr="00AF7A73" w14:paraId="575CB805" w14:textId="77777777" w:rsidTr="00161865">
        <w:trPr>
          <w:trHeight w:val="561"/>
        </w:trPr>
        <w:tc>
          <w:tcPr>
            <w:tcW w:w="715" w:type="dxa"/>
            <w:shd w:val="clear" w:color="000000" w:fill="FFFFFF"/>
            <w:noWrap/>
            <w:vAlign w:val="center"/>
          </w:tcPr>
          <w:p w14:paraId="55067665" w14:textId="5D74436C" w:rsidR="00A47D43" w:rsidRDefault="00A47D43"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6.1.3</w:t>
            </w:r>
          </w:p>
        </w:tc>
        <w:tc>
          <w:tcPr>
            <w:tcW w:w="4955" w:type="dxa"/>
            <w:shd w:val="clear" w:color="000000" w:fill="FFFFFF"/>
            <w:noWrap/>
            <w:vAlign w:val="center"/>
          </w:tcPr>
          <w:p w14:paraId="73F8DA9A" w14:textId="4E1FB3E9" w:rsidR="00A47D43" w:rsidRPr="00B34E00" w:rsidRDefault="00A47D43" w:rsidP="00161865">
            <w:pPr>
              <w:adjustRightInd/>
              <w:spacing w:after="0" w:line="240" w:lineRule="auto"/>
              <w:ind w:right="0"/>
              <w:rPr>
                <w:rFonts w:eastAsia="Times New Roman"/>
                <w:b/>
                <w:bCs/>
                <w:color w:val="000000"/>
                <w:lang w:val="en-GB" w:eastAsia="de-DE"/>
              </w:rPr>
            </w:pPr>
            <w:r>
              <w:rPr>
                <w:rFonts w:eastAsia="Times New Roman"/>
                <w:b/>
                <w:bCs/>
                <w:color w:val="000000"/>
                <w:lang w:val="en-GB" w:eastAsia="de-DE"/>
              </w:rPr>
              <w:t>Analytical Performance Report</w:t>
            </w:r>
          </w:p>
        </w:tc>
        <w:tc>
          <w:tcPr>
            <w:tcW w:w="1014" w:type="dxa"/>
            <w:shd w:val="clear" w:color="000000" w:fill="FFFFFF"/>
            <w:noWrap/>
            <w:vAlign w:val="center"/>
          </w:tcPr>
          <w:p w14:paraId="2CE744F3" w14:textId="77777777" w:rsidR="00A47D43" w:rsidRPr="004C3A94" w:rsidRDefault="00A47D43"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3F4CF39F" w14:textId="77777777" w:rsidR="00A47D43" w:rsidRPr="004C3A94" w:rsidRDefault="00A47D43"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62AF055" w14:textId="77777777" w:rsidR="00A47D43" w:rsidRPr="004C3A94" w:rsidRDefault="00A47D43"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3852B0FD" w14:textId="77777777" w:rsidR="00A47D43" w:rsidRPr="004C3A94" w:rsidRDefault="00A47D43" w:rsidP="00161865">
            <w:pPr>
              <w:adjustRightInd/>
              <w:spacing w:after="0" w:line="240" w:lineRule="auto"/>
              <w:ind w:right="0"/>
              <w:rPr>
                <w:rFonts w:eastAsia="Times New Roman" w:cs="Calibri"/>
                <w:color w:val="000000"/>
                <w:lang w:val="en-GB" w:eastAsia="de-DE"/>
              </w:rPr>
            </w:pPr>
          </w:p>
        </w:tc>
      </w:tr>
      <w:tr w:rsidR="00A47D43" w:rsidRPr="004B5366" w14:paraId="6F8D9E8D" w14:textId="77777777" w:rsidTr="00161865">
        <w:trPr>
          <w:trHeight w:val="561"/>
        </w:trPr>
        <w:tc>
          <w:tcPr>
            <w:tcW w:w="715" w:type="dxa"/>
            <w:shd w:val="clear" w:color="000000" w:fill="FFFFFF"/>
            <w:noWrap/>
            <w:vAlign w:val="center"/>
          </w:tcPr>
          <w:p w14:paraId="72E2116B" w14:textId="77777777" w:rsidR="00A47D43" w:rsidRDefault="00A47D43"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65C3377F" w14:textId="502A2587" w:rsidR="00A47D43" w:rsidRPr="00B34E00" w:rsidRDefault="00A47D43" w:rsidP="00161865">
            <w:pPr>
              <w:adjustRightInd/>
              <w:spacing w:after="0" w:line="240" w:lineRule="auto"/>
              <w:ind w:right="0"/>
              <w:rPr>
                <w:rFonts w:eastAsia="Times New Roman"/>
                <w:b/>
                <w:bCs/>
                <w:color w:val="000000"/>
                <w:lang w:val="en-GB" w:eastAsia="de-DE"/>
              </w:rPr>
            </w:pPr>
            <w:r w:rsidRPr="00203D59">
              <w:rPr>
                <w:rFonts w:eastAsia="Times New Roman"/>
                <w:color w:val="000000"/>
                <w:lang w:val="en-GB" w:eastAsia="de-DE"/>
              </w:rPr>
              <w:t>The results should be summarised in the analytical performance report. It shall contain a conclusion if the Safety and Performance requirements (including Common Technical Specifications / Common Specifications) concerning the sensitivity and specificity are fulfilled. It shall demonstrate the analytical performance, taking into consideration the state of the art (e.g., CE-marked reference test applied).</w:t>
            </w:r>
          </w:p>
        </w:tc>
        <w:tc>
          <w:tcPr>
            <w:tcW w:w="1014" w:type="dxa"/>
            <w:shd w:val="clear" w:color="000000" w:fill="FFFFFF"/>
            <w:noWrap/>
            <w:vAlign w:val="center"/>
          </w:tcPr>
          <w:p w14:paraId="0D34E645" w14:textId="77777777" w:rsidR="00A47D43" w:rsidRPr="004C3A94" w:rsidRDefault="00A47D43"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172A475" w14:textId="77777777" w:rsidR="00A47D43" w:rsidRPr="004C3A94" w:rsidRDefault="00A47D43"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61BE99A" w14:textId="77777777" w:rsidR="00A47D43" w:rsidRPr="004C3A94" w:rsidRDefault="00A47D43"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7DDB5A0" w14:textId="77777777" w:rsidR="00A47D43" w:rsidRPr="004C3A94" w:rsidRDefault="00A47D43" w:rsidP="00161865">
            <w:pPr>
              <w:adjustRightInd/>
              <w:spacing w:after="0" w:line="240" w:lineRule="auto"/>
              <w:ind w:right="0"/>
              <w:rPr>
                <w:rFonts w:eastAsia="Times New Roman" w:cs="Calibri"/>
                <w:color w:val="000000"/>
                <w:lang w:val="en-GB" w:eastAsia="de-DE"/>
              </w:rPr>
            </w:pPr>
          </w:p>
        </w:tc>
      </w:tr>
      <w:tr w:rsidR="00C57D72" w:rsidRPr="00AF7A73" w14:paraId="53E14761" w14:textId="77777777" w:rsidTr="00161865">
        <w:trPr>
          <w:trHeight w:val="561"/>
        </w:trPr>
        <w:tc>
          <w:tcPr>
            <w:tcW w:w="715" w:type="dxa"/>
            <w:shd w:val="clear" w:color="auto" w:fill="EFF9FF"/>
            <w:noWrap/>
            <w:vAlign w:val="center"/>
          </w:tcPr>
          <w:p w14:paraId="48BA3F2A" w14:textId="35FE2CEE" w:rsidR="00C57D72" w:rsidRPr="00A0478D" w:rsidRDefault="00330BEA"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6.2</w:t>
            </w:r>
          </w:p>
        </w:tc>
        <w:tc>
          <w:tcPr>
            <w:tcW w:w="4955" w:type="dxa"/>
            <w:shd w:val="clear" w:color="auto" w:fill="EFF9FF"/>
            <w:noWrap/>
            <w:vAlign w:val="center"/>
          </w:tcPr>
          <w:p w14:paraId="2C16095F" w14:textId="036F71D7" w:rsidR="00C57D72" w:rsidRPr="00B34E00" w:rsidRDefault="00C57D72" w:rsidP="00161865">
            <w:pPr>
              <w:adjustRightInd/>
              <w:spacing w:after="0" w:line="240" w:lineRule="auto"/>
              <w:ind w:right="0"/>
              <w:rPr>
                <w:rFonts w:eastAsia="Times New Roman"/>
                <w:b/>
                <w:bCs/>
                <w:color w:val="000000"/>
                <w:lang w:val="en-GB" w:eastAsia="de-DE"/>
              </w:rPr>
            </w:pPr>
            <w:r w:rsidRPr="00B34E00">
              <w:rPr>
                <w:rFonts w:eastAsia="Times New Roman"/>
                <w:b/>
                <w:bCs/>
                <w:color w:val="000000"/>
                <w:lang w:val="en-GB" w:eastAsia="de-DE"/>
              </w:rPr>
              <w:t>Clinical Performance</w:t>
            </w:r>
          </w:p>
        </w:tc>
        <w:tc>
          <w:tcPr>
            <w:tcW w:w="1014" w:type="dxa"/>
            <w:shd w:val="clear" w:color="auto" w:fill="EFF9FF"/>
            <w:noWrap/>
            <w:vAlign w:val="center"/>
          </w:tcPr>
          <w:p w14:paraId="6472568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116F65A6"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0A790C9F"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799B3F88" w14:textId="66CABB1C" w:rsidR="00C57D72" w:rsidRPr="004C3A94" w:rsidRDefault="00C57D72" w:rsidP="00161865">
            <w:pPr>
              <w:adjustRightInd/>
              <w:spacing w:after="0" w:line="240" w:lineRule="auto"/>
              <w:ind w:right="0"/>
              <w:rPr>
                <w:rFonts w:eastAsia="Times New Roman" w:cs="Calibri"/>
                <w:color w:val="000000"/>
                <w:lang w:val="en-GB" w:eastAsia="de-DE"/>
              </w:rPr>
            </w:pPr>
          </w:p>
        </w:tc>
      </w:tr>
      <w:tr w:rsidR="000A537B" w:rsidRPr="00AF7A73" w14:paraId="14052D43" w14:textId="77777777" w:rsidTr="00161865">
        <w:trPr>
          <w:trHeight w:val="561"/>
        </w:trPr>
        <w:tc>
          <w:tcPr>
            <w:tcW w:w="715" w:type="dxa"/>
            <w:shd w:val="clear" w:color="000000" w:fill="FFFFFF"/>
            <w:noWrap/>
            <w:vAlign w:val="center"/>
          </w:tcPr>
          <w:p w14:paraId="27EC57E6" w14:textId="1B64DB01" w:rsidR="000A537B" w:rsidRPr="00A0478D" w:rsidRDefault="000A537B"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6.2.1</w:t>
            </w:r>
          </w:p>
        </w:tc>
        <w:tc>
          <w:tcPr>
            <w:tcW w:w="4955" w:type="dxa"/>
            <w:shd w:val="clear" w:color="000000" w:fill="FFFFFF"/>
            <w:noWrap/>
            <w:vAlign w:val="center"/>
          </w:tcPr>
          <w:p w14:paraId="30F4C7C1" w14:textId="58E5FD39" w:rsidR="000A537B" w:rsidRPr="000A537B" w:rsidRDefault="000A537B" w:rsidP="00161865">
            <w:pPr>
              <w:adjustRightInd/>
              <w:spacing w:after="0" w:line="240" w:lineRule="auto"/>
              <w:ind w:right="0"/>
              <w:rPr>
                <w:rFonts w:eastAsia="Times New Roman"/>
                <w:b/>
                <w:bCs/>
                <w:color w:val="000000"/>
                <w:lang w:val="en-GB" w:eastAsia="de-DE"/>
              </w:rPr>
            </w:pPr>
            <w:r w:rsidRPr="000A537B">
              <w:rPr>
                <w:rFonts w:eastAsia="Times New Roman"/>
                <w:b/>
                <w:bCs/>
                <w:color w:val="000000"/>
                <w:lang w:val="en-GB" w:eastAsia="de-DE"/>
              </w:rPr>
              <w:t>Clinical Performance</w:t>
            </w:r>
          </w:p>
        </w:tc>
        <w:tc>
          <w:tcPr>
            <w:tcW w:w="1014" w:type="dxa"/>
            <w:shd w:val="clear" w:color="000000" w:fill="FFFFFF"/>
            <w:noWrap/>
            <w:vAlign w:val="center"/>
          </w:tcPr>
          <w:p w14:paraId="39A00F9B" w14:textId="77777777" w:rsidR="000A537B" w:rsidRPr="004C3A94" w:rsidRDefault="000A537B"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C8374A4" w14:textId="77777777" w:rsidR="000A537B" w:rsidRPr="004C3A94" w:rsidRDefault="000A537B"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A1E8E6B" w14:textId="77777777" w:rsidR="000A537B" w:rsidRPr="004C3A94" w:rsidRDefault="000A537B"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314A8CB8" w14:textId="77777777" w:rsidR="000A537B" w:rsidRPr="004C3A94" w:rsidRDefault="000A537B" w:rsidP="00161865">
            <w:pPr>
              <w:adjustRightInd/>
              <w:spacing w:after="0" w:line="240" w:lineRule="auto"/>
              <w:ind w:right="0"/>
              <w:rPr>
                <w:rFonts w:eastAsia="Times New Roman" w:cs="Calibri"/>
                <w:color w:val="000000"/>
                <w:lang w:val="en-GB" w:eastAsia="de-DE"/>
              </w:rPr>
            </w:pPr>
          </w:p>
        </w:tc>
      </w:tr>
      <w:tr w:rsidR="00C57D72" w:rsidRPr="004B5366" w14:paraId="0B5592A4" w14:textId="77777777" w:rsidTr="00161865">
        <w:trPr>
          <w:trHeight w:val="561"/>
        </w:trPr>
        <w:tc>
          <w:tcPr>
            <w:tcW w:w="715" w:type="dxa"/>
            <w:shd w:val="clear" w:color="000000" w:fill="FFFFFF"/>
            <w:noWrap/>
            <w:vAlign w:val="center"/>
          </w:tcPr>
          <w:p w14:paraId="239D4132"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39440914" w14:textId="77777777" w:rsidR="00C57D72" w:rsidRDefault="00C57D72" w:rsidP="00161865">
            <w:pPr>
              <w:adjustRightInd/>
              <w:spacing w:after="0" w:line="240" w:lineRule="auto"/>
              <w:ind w:right="0"/>
              <w:rPr>
                <w:rFonts w:eastAsia="Times New Roman"/>
                <w:color w:val="000000"/>
                <w:lang w:val="en-GB" w:eastAsia="de-DE"/>
              </w:rPr>
            </w:pPr>
            <w:r w:rsidRPr="00203D59">
              <w:rPr>
                <w:rFonts w:eastAsia="Times New Roman"/>
                <w:color w:val="000000"/>
                <w:lang w:val="en-GB" w:eastAsia="de-DE"/>
              </w:rPr>
              <w:t>The clinical performance must be demonstrated based on:</w:t>
            </w:r>
          </w:p>
          <w:p w14:paraId="1467F1F8" w14:textId="77777777" w:rsidR="00C57D72" w:rsidRPr="00203D59" w:rsidRDefault="00C57D72" w:rsidP="00161865">
            <w:pPr>
              <w:pStyle w:val="Listenabsatz"/>
              <w:numPr>
                <w:ilvl w:val="0"/>
                <w:numId w:val="6"/>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Clinical performance studies and/or</w:t>
            </w:r>
          </w:p>
          <w:p w14:paraId="04791B94" w14:textId="77777777" w:rsidR="00C57D72" w:rsidRPr="00203D59" w:rsidRDefault="00C57D72" w:rsidP="00161865">
            <w:pPr>
              <w:pStyle w:val="Listenabsatz"/>
              <w:numPr>
                <w:ilvl w:val="0"/>
                <w:numId w:val="6"/>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Scientific (peer-reviewed) literature and/or</w:t>
            </w:r>
          </w:p>
          <w:p w14:paraId="5B215116" w14:textId="77777777" w:rsidR="00C57D72" w:rsidRPr="00203D59" w:rsidRDefault="00C57D72" w:rsidP="00161865">
            <w:pPr>
              <w:pStyle w:val="Listenabsatz"/>
              <w:numPr>
                <w:ilvl w:val="0"/>
                <w:numId w:val="6"/>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lastRenderedPageBreak/>
              <w:t>Published experience gained by routine diagnostic testing</w:t>
            </w:r>
          </w:p>
          <w:p w14:paraId="3E8ED171" w14:textId="55F45365" w:rsidR="00C57D72" w:rsidRPr="00203D59" w:rsidRDefault="00C57D72" w:rsidP="00161865">
            <w:pPr>
              <w:adjustRightInd/>
              <w:spacing w:after="0" w:line="240" w:lineRule="auto"/>
              <w:ind w:right="0"/>
              <w:rPr>
                <w:rFonts w:eastAsia="Times New Roman"/>
                <w:color w:val="000000"/>
                <w:lang w:val="en-GB" w:eastAsia="de-DE"/>
              </w:rPr>
            </w:pPr>
            <w:r>
              <w:rPr>
                <w:rFonts w:eastAsia="Times New Roman"/>
                <w:color w:val="000000"/>
                <w:lang w:val="en-GB" w:eastAsia="de-DE"/>
              </w:rPr>
              <w:t xml:space="preserve">If </w:t>
            </w:r>
            <w:r w:rsidRPr="00203D59">
              <w:rPr>
                <w:rFonts w:eastAsia="Times New Roman"/>
                <w:color w:val="000000"/>
                <w:lang w:val="en-GB" w:eastAsia="de-DE"/>
              </w:rPr>
              <w:t xml:space="preserve">Clinical Performance Studies are performed, a Clinical Performance Study Plan and Report shall be provided. The report shall include, where applicable: </w:t>
            </w:r>
          </w:p>
          <w:p w14:paraId="793D956D" w14:textId="77777777" w:rsidR="00C57D72" w:rsidRPr="00203D59" w:rsidRDefault="00C57D72" w:rsidP="00161865">
            <w:pPr>
              <w:pStyle w:val="Listenabsatz"/>
              <w:numPr>
                <w:ilvl w:val="0"/>
                <w:numId w:val="7"/>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Diagnostic sensitivity</w:t>
            </w:r>
          </w:p>
          <w:p w14:paraId="3E261938" w14:textId="77777777" w:rsidR="00C57D72" w:rsidRPr="00203D59" w:rsidRDefault="00C57D72" w:rsidP="00161865">
            <w:pPr>
              <w:pStyle w:val="Listenabsatz"/>
              <w:numPr>
                <w:ilvl w:val="0"/>
                <w:numId w:val="7"/>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Diagnostic specificity</w:t>
            </w:r>
          </w:p>
          <w:p w14:paraId="68A81260" w14:textId="77777777" w:rsidR="00C57D72" w:rsidRPr="00203D59" w:rsidRDefault="00C57D72" w:rsidP="00161865">
            <w:pPr>
              <w:pStyle w:val="Listenabsatz"/>
              <w:numPr>
                <w:ilvl w:val="0"/>
                <w:numId w:val="7"/>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Positive predictive value</w:t>
            </w:r>
          </w:p>
          <w:p w14:paraId="6B05E7C0" w14:textId="77777777" w:rsidR="00C57D72" w:rsidRPr="00203D59" w:rsidRDefault="00C57D72" w:rsidP="00161865">
            <w:pPr>
              <w:pStyle w:val="Listenabsatz"/>
              <w:numPr>
                <w:ilvl w:val="0"/>
                <w:numId w:val="7"/>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Negative predictive value</w:t>
            </w:r>
          </w:p>
          <w:p w14:paraId="0C458A68" w14:textId="77777777" w:rsidR="00C57D72" w:rsidRPr="00203D59" w:rsidRDefault="00C57D72" w:rsidP="00161865">
            <w:pPr>
              <w:pStyle w:val="Listenabsatz"/>
              <w:numPr>
                <w:ilvl w:val="0"/>
                <w:numId w:val="7"/>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Likelihood ratio</w:t>
            </w:r>
          </w:p>
          <w:p w14:paraId="62DAF05B" w14:textId="5E660E75" w:rsidR="00C57D72" w:rsidRPr="00203D59" w:rsidRDefault="00C57D72" w:rsidP="00161865">
            <w:pPr>
              <w:pStyle w:val="Listenabsatz"/>
              <w:numPr>
                <w:ilvl w:val="0"/>
                <w:numId w:val="7"/>
              </w:numPr>
              <w:adjustRightInd/>
              <w:spacing w:after="0" w:line="240" w:lineRule="auto"/>
              <w:ind w:right="0"/>
              <w:rPr>
                <w:rFonts w:eastAsia="Times New Roman"/>
                <w:color w:val="000000"/>
                <w:lang w:val="en-GB" w:eastAsia="de-DE"/>
              </w:rPr>
            </w:pPr>
            <w:r w:rsidRPr="00203D59">
              <w:rPr>
                <w:rFonts w:eastAsia="Times New Roman"/>
                <w:color w:val="000000"/>
                <w:szCs w:val="20"/>
                <w:lang w:val="en-GB" w:eastAsia="de-DE"/>
              </w:rPr>
              <w:t>Expected values in normal and affected populations</w:t>
            </w:r>
          </w:p>
        </w:tc>
        <w:tc>
          <w:tcPr>
            <w:tcW w:w="1014" w:type="dxa"/>
            <w:shd w:val="clear" w:color="000000" w:fill="FFFFFF"/>
            <w:noWrap/>
            <w:vAlign w:val="center"/>
          </w:tcPr>
          <w:p w14:paraId="0443C10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36520270"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1030D88"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0334600D" w14:textId="60E5F55E"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6483E1CA" w14:textId="77777777" w:rsidTr="00161865">
        <w:trPr>
          <w:trHeight w:val="561"/>
        </w:trPr>
        <w:tc>
          <w:tcPr>
            <w:tcW w:w="715" w:type="dxa"/>
            <w:shd w:val="clear" w:color="000000" w:fill="FFFFFF"/>
            <w:noWrap/>
            <w:vAlign w:val="center"/>
          </w:tcPr>
          <w:p w14:paraId="194D68D0" w14:textId="4A9D47ED"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2.2</w:t>
            </w:r>
          </w:p>
        </w:tc>
        <w:tc>
          <w:tcPr>
            <w:tcW w:w="4955" w:type="dxa"/>
            <w:shd w:val="clear" w:color="000000" w:fill="FFFFFF"/>
            <w:noWrap/>
            <w:vAlign w:val="center"/>
          </w:tcPr>
          <w:p w14:paraId="49BABD24" w14:textId="460A2540" w:rsidR="00C57D72" w:rsidRPr="00B34E00" w:rsidRDefault="00C57D72" w:rsidP="00161865">
            <w:pPr>
              <w:adjustRightInd/>
              <w:spacing w:after="0" w:line="240" w:lineRule="auto"/>
              <w:ind w:right="0"/>
              <w:rPr>
                <w:rFonts w:eastAsia="Times New Roman"/>
                <w:b/>
                <w:bCs/>
                <w:color w:val="000000"/>
                <w:lang w:val="en-GB" w:eastAsia="de-DE"/>
              </w:rPr>
            </w:pPr>
            <w:r w:rsidRPr="00B34E00">
              <w:rPr>
                <w:rFonts w:eastAsia="Times New Roman"/>
                <w:b/>
                <w:bCs/>
                <w:color w:val="000000"/>
                <w:lang w:val="en-GB" w:eastAsia="de-DE"/>
              </w:rPr>
              <w:t>Performance of self-testing devices / Near-patient testing devices</w:t>
            </w:r>
          </w:p>
        </w:tc>
        <w:tc>
          <w:tcPr>
            <w:tcW w:w="1014" w:type="dxa"/>
            <w:shd w:val="clear" w:color="000000" w:fill="FFFFFF"/>
            <w:noWrap/>
            <w:vAlign w:val="center"/>
          </w:tcPr>
          <w:p w14:paraId="1BF6F628"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C4E1B78"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99D24F0"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0B80BA9D" w14:textId="1D2B1A50"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7CD02163" w14:textId="77777777" w:rsidTr="00161865">
        <w:trPr>
          <w:trHeight w:val="561"/>
        </w:trPr>
        <w:tc>
          <w:tcPr>
            <w:tcW w:w="715" w:type="dxa"/>
            <w:shd w:val="clear" w:color="000000" w:fill="FFFFFF"/>
            <w:noWrap/>
            <w:vAlign w:val="center"/>
          </w:tcPr>
          <w:p w14:paraId="41F09CE8"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46C03750" w14:textId="2DCC1771" w:rsidR="00C57D72" w:rsidRPr="00203D59" w:rsidRDefault="00C57D72" w:rsidP="00161865">
            <w:pPr>
              <w:adjustRightInd/>
              <w:spacing w:after="0" w:line="240" w:lineRule="auto"/>
              <w:ind w:right="0"/>
              <w:rPr>
                <w:rFonts w:eastAsia="Times New Roman"/>
                <w:color w:val="000000"/>
                <w:lang w:val="en-GB" w:eastAsia="de-DE"/>
              </w:rPr>
            </w:pPr>
            <w:r w:rsidRPr="00203D59">
              <w:rPr>
                <w:rFonts w:eastAsia="Times New Roman"/>
                <w:color w:val="000000"/>
                <w:lang w:val="en-GB" w:eastAsia="de-DE"/>
              </w:rPr>
              <w:t>Layperson studies/near-patient studies shall demonstrate the performance for the intended user population, taking into consideration the skills and me</w:t>
            </w:r>
          </w:p>
        </w:tc>
        <w:tc>
          <w:tcPr>
            <w:tcW w:w="1014" w:type="dxa"/>
            <w:shd w:val="clear" w:color="000000" w:fill="FFFFFF"/>
            <w:noWrap/>
            <w:vAlign w:val="center"/>
          </w:tcPr>
          <w:p w14:paraId="5716D96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29ECFA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3477C9BA"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1914350" w14:textId="3C9ED5AB"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2D6A70ED" w14:textId="77777777" w:rsidTr="00161865">
        <w:trPr>
          <w:trHeight w:val="561"/>
        </w:trPr>
        <w:tc>
          <w:tcPr>
            <w:tcW w:w="715" w:type="dxa"/>
            <w:shd w:val="clear" w:color="auto" w:fill="EFF9FF"/>
            <w:noWrap/>
            <w:vAlign w:val="center"/>
          </w:tcPr>
          <w:p w14:paraId="6777BC43" w14:textId="553BF393"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3</w:t>
            </w:r>
          </w:p>
        </w:tc>
        <w:tc>
          <w:tcPr>
            <w:tcW w:w="4955" w:type="dxa"/>
            <w:shd w:val="clear" w:color="auto" w:fill="EFF9FF"/>
            <w:noWrap/>
            <w:vAlign w:val="center"/>
          </w:tcPr>
          <w:p w14:paraId="777E4442" w14:textId="101B976E" w:rsidR="00C57D72" w:rsidRPr="00B34E00" w:rsidRDefault="00C57D72" w:rsidP="00161865">
            <w:pPr>
              <w:adjustRightInd/>
              <w:spacing w:after="0" w:line="240" w:lineRule="auto"/>
              <w:ind w:right="0"/>
              <w:rPr>
                <w:rFonts w:eastAsia="Times New Roman"/>
                <w:b/>
                <w:bCs/>
                <w:color w:val="000000"/>
                <w:lang w:val="en-GB" w:eastAsia="de-DE"/>
              </w:rPr>
            </w:pPr>
            <w:r w:rsidRPr="00203D59">
              <w:rPr>
                <w:rFonts w:eastAsia="Times New Roman"/>
                <w:b/>
                <w:bCs/>
                <w:color w:val="000000"/>
                <w:lang w:val="en-GB" w:eastAsia="de-DE"/>
              </w:rPr>
              <w:t>Scientific Validity</w:t>
            </w:r>
          </w:p>
        </w:tc>
        <w:tc>
          <w:tcPr>
            <w:tcW w:w="1014" w:type="dxa"/>
            <w:shd w:val="clear" w:color="auto" w:fill="EFF9FF"/>
            <w:noWrap/>
            <w:vAlign w:val="center"/>
          </w:tcPr>
          <w:p w14:paraId="420D83B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1B8331D7"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1CDDF32C"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131BD296" w14:textId="7282BEC8"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067A1039" w14:textId="77777777" w:rsidTr="00161865">
        <w:trPr>
          <w:trHeight w:val="561"/>
        </w:trPr>
        <w:tc>
          <w:tcPr>
            <w:tcW w:w="715" w:type="dxa"/>
            <w:shd w:val="clear" w:color="000000" w:fill="FFFFFF"/>
            <w:noWrap/>
            <w:vAlign w:val="center"/>
          </w:tcPr>
          <w:p w14:paraId="3B7884BA"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CC40A0C" w14:textId="77777777" w:rsidR="00C57D72" w:rsidRPr="00203D59" w:rsidRDefault="00C57D72" w:rsidP="00161865">
            <w:pPr>
              <w:adjustRightInd/>
              <w:spacing w:after="0" w:line="240" w:lineRule="auto"/>
              <w:ind w:right="0"/>
              <w:rPr>
                <w:rFonts w:eastAsia="Times New Roman"/>
                <w:color w:val="000000"/>
                <w:lang w:val="en-GB" w:eastAsia="de-DE"/>
              </w:rPr>
            </w:pPr>
            <w:r w:rsidRPr="00203D59">
              <w:rPr>
                <w:rFonts w:eastAsia="Times New Roman"/>
                <w:color w:val="000000"/>
                <w:lang w:val="en-GB" w:eastAsia="de-DE"/>
              </w:rPr>
              <w:t>Scientific validity shall be demonstrated and documented in the scientific validity report</w:t>
            </w:r>
          </w:p>
          <w:p w14:paraId="2D2D4762" w14:textId="77777777" w:rsidR="00C57D72" w:rsidRDefault="00C57D72" w:rsidP="00161865">
            <w:pPr>
              <w:adjustRightInd/>
              <w:spacing w:after="0" w:line="240" w:lineRule="auto"/>
              <w:ind w:right="0"/>
              <w:rPr>
                <w:rFonts w:eastAsia="Times New Roman"/>
                <w:color w:val="000000"/>
                <w:lang w:val="en-GB" w:eastAsia="de-DE"/>
              </w:rPr>
            </w:pPr>
            <w:r w:rsidRPr="00203D59">
              <w:rPr>
                <w:rFonts w:eastAsia="Times New Roman"/>
                <w:color w:val="000000"/>
                <w:lang w:val="en-GB" w:eastAsia="de-DE"/>
              </w:rPr>
              <w:t>Scientific validity demonstrated based on:</w:t>
            </w:r>
          </w:p>
          <w:p w14:paraId="465B2940" w14:textId="77777777" w:rsidR="00C57D72" w:rsidRPr="00203D59" w:rsidRDefault="00C57D72" w:rsidP="00161865">
            <w:pPr>
              <w:pStyle w:val="Listenabsatz"/>
              <w:numPr>
                <w:ilvl w:val="0"/>
                <w:numId w:val="8"/>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Relevant information of devices measuring the same analyte or marker and/or</w:t>
            </w:r>
          </w:p>
          <w:p w14:paraId="1C9DF8C7" w14:textId="77777777" w:rsidR="00C57D72" w:rsidRPr="00203D59" w:rsidRDefault="00C57D72" w:rsidP="00161865">
            <w:pPr>
              <w:pStyle w:val="Listenabsatz"/>
              <w:numPr>
                <w:ilvl w:val="0"/>
                <w:numId w:val="8"/>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Scientific (peer-reviewed) literature and/or</w:t>
            </w:r>
          </w:p>
          <w:p w14:paraId="3070161B" w14:textId="77777777" w:rsidR="00C57D72" w:rsidRPr="00203D59" w:rsidRDefault="00C57D72" w:rsidP="00161865">
            <w:pPr>
              <w:pStyle w:val="Listenabsatz"/>
              <w:numPr>
                <w:ilvl w:val="0"/>
                <w:numId w:val="8"/>
              </w:numPr>
              <w:adjustRightInd/>
              <w:spacing w:after="0" w:line="240" w:lineRule="auto"/>
              <w:ind w:right="0"/>
              <w:rPr>
                <w:rFonts w:eastAsia="Times New Roman"/>
                <w:color w:val="000000"/>
                <w:szCs w:val="20"/>
                <w:lang w:val="en-GB" w:eastAsia="de-DE"/>
              </w:rPr>
            </w:pPr>
            <w:r w:rsidRPr="00203D59">
              <w:rPr>
                <w:rFonts w:eastAsia="Times New Roman"/>
                <w:color w:val="000000"/>
                <w:szCs w:val="20"/>
                <w:lang w:val="en-GB" w:eastAsia="de-DE"/>
              </w:rPr>
              <w:t>Consensus expert opinions / positions from relevant professional associations and/or</w:t>
            </w:r>
          </w:p>
          <w:p w14:paraId="16718931" w14:textId="101574F0" w:rsidR="00C57D72" w:rsidRPr="00203D59" w:rsidRDefault="00C57D72" w:rsidP="00161865">
            <w:pPr>
              <w:pStyle w:val="Listenabsatz"/>
              <w:numPr>
                <w:ilvl w:val="0"/>
                <w:numId w:val="8"/>
              </w:numPr>
              <w:adjustRightInd/>
              <w:spacing w:after="0" w:line="240" w:lineRule="auto"/>
              <w:ind w:right="0"/>
              <w:rPr>
                <w:rFonts w:eastAsia="Times New Roman"/>
                <w:b/>
                <w:bCs/>
                <w:color w:val="000000"/>
                <w:szCs w:val="20"/>
                <w:lang w:val="en-GB" w:eastAsia="de-DE"/>
              </w:rPr>
            </w:pPr>
            <w:r w:rsidRPr="00203D59">
              <w:rPr>
                <w:rFonts w:eastAsia="Times New Roman"/>
                <w:color w:val="000000"/>
                <w:szCs w:val="20"/>
                <w:lang w:val="en-GB" w:eastAsia="de-DE"/>
              </w:rPr>
              <w:t>Results from proof-of-concept studies and/or</w:t>
            </w:r>
          </w:p>
          <w:p w14:paraId="1988AE63" w14:textId="43B8751C" w:rsidR="00C57D72" w:rsidRPr="00B34E00" w:rsidRDefault="00C57D72" w:rsidP="00161865">
            <w:pPr>
              <w:pStyle w:val="Listenabsatz"/>
              <w:numPr>
                <w:ilvl w:val="0"/>
                <w:numId w:val="8"/>
              </w:numPr>
              <w:adjustRightInd/>
              <w:spacing w:after="0" w:line="240" w:lineRule="auto"/>
              <w:ind w:right="0"/>
              <w:rPr>
                <w:rFonts w:eastAsia="Times New Roman"/>
                <w:b/>
                <w:bCs/>
                <w:color w:val="000000"/>
                <w:lang w:val="en-GB" w:eastAsia="de-DE"/>
              </w:rPr>
            </w:pPr>
            <w:r w:rsidRPr="00203D59">
              <w:rPr>
                <w:rFonts w:eastAsia="Times New Roman"/>
                <w:color w:val="000000"/>
                <w:szCs w:val="20"/>
                <w:lang w:val="en-GB" w:eastAsia="de-DE"/>
              </w:rPr>
              <w:t>Results from clinical performance studies and/or</w:t>
            </w:r>
          </w:p>
        </w:tc>
        <w:tc>
          <w:tcPr>
            <w:tcW w:w="1014" w:type="dxa"/>
            <w:shd w:val="clear" w:color="000000" w:fill="FFFFFF"/>
            <w:noWrap/>
            <w:vAlign w:val="center"/>
          </w:tcPr>
          <w:p w14:paraId="2B96C52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21599E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4886C8A"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1BDB94A" w14:textId="09C6A3D9"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2653B649" w14:textId="77777777" w:rsidTr="00161865">
        <w:trPr>
          <w:trHeight w:val="561"/>
        </w:trPr>
        <w:tc>
          <w:tcPr>
            <w:tcW w:w="715" w:type="dxa"/>
            <w:shd w:val="clear" w:color="auto" w:fill="EFF9FF"/>
            <w:noWrap/>
            <w:vAlign w:val="center"/>
          </w:tcPr>
          <w:p w14:paraId="15409AFC" w14:textId="2107F408"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lastRenderedPageBreak/>
              <w:t>6.</w:t>
            </w:r>
            <w:r w:rsidR="000A537B">
              <w:rPr>
                <w:rFonts w:eastAsia="Times New Roman" w:cs="Calibri"/>
                <w:b/>
                <w:bCs/>
                <w:color w:val="000000"/>
                <w:lang w:val="en-GB" w:eastAsia="de-DE"/>
              </w:rPr>
              <w:t>4</w:t>
            </w:r>
          </w:p>
        </w:tc>
        <w:tc>
          <w:tcPr>
            <w:tcW w:w="4955" w:type="dxa"/>
            <w:shd w:val="clear" w:color="auto" w:fill="EFF9FF"/>
            <w:noWrap/>
            <w:vAlign w:val="center"/>
          </w:tcPr>
          <w:p w14:paraId="6A867FA7" w14:textId="7D81E6F0" w:rsidR="00C57D72" w:rsidRPr="00B34E00" w:rsidRDefault="00C57D72" w:rsidP="00161865">
            <w:pPr>
              <w:adjustRightInd/>
              <w:spacing w:after="0" w:line="240" w:lineRule="auto"/>
              <w:ind w:right="0"/>
              <w:rPr>
                <w:rFonts w:eastAsia="Times New Roman"/>
                <w:b/>
                <w:bCs/>
                <w:color w:val="000000"/>
                <w:lang w:val="en-GB" w:eastAsia="de-DE"/>
              </w:rPr>
            </w:pPr>
            <w:r w:rsidRPr="00203D59">
              <w:rPr>
                <w:rFonts w:eastAsia="Times New Roman"/>
                <w:b/>
                <w:bCs/>
                <w:color w:val="000000"/>
                <w:lang w:val="en-GB" w:eastAsia="de-DE"/>
              </w:rPr>
              <w:t>Performance Evaluation Report</w:t>
            </w:r>
          </w:p>
        </w:tc>
        <w:tc>
          <w:tcPr>
            <w:tcW w:w="1014" w:type="dxa"/>
            <w:shd w:val="clear" w:color="auto" w:fill="EFF9FF"/>
            <w:noWrap/>
            <w:vAlign w:val="center"/>
          </w:tcPr>
          <w:p w14:paraId="44DC0CCC"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48E3D3DD"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65E4F6F2"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67439262" w14:textId="20B8A029"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173AB12C" w14:textId="77777777" w:rsidTr="00161865">
        <w:trPr>
          <w:trHeight w:val="561"/>
        </w:trPr>
        <w:tc>
          <w:tcPr>
            <w:tcW w:w="715" w:type="dxa"/>
            <w:shd w:val="clear" w:color="000000" w:fill="FFFFFF"/>
            <w:noWrap/>
            <w:vAlign w:val="center"/>
          </w:tcPr>
          <w:p w14:paraId="6B2B591A"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C5E6193" w14:textId="4C774C92" w:rsidR="00C57D72" w:rsidRPr="00203D59" w:rsidRDefault="00C57D72" w:rsidP="00161865">
            <w:pPr>
              <w:adjustRightInd/>
              <w:spacing w:after="0" w:line="240" w:lineRule="auto"/>
              <w:ind w:right="0"/>
              <w:rPr>
                <w:rFonts w:eastAsia="Times New Roman"/>
                <w:color w:val="000000"/>
                <w:lang w:val="en-GB" w:eastAsia="de-DE"/>
              </w:rPr>
            </w:pPr>
            <w:r w:rsidRPr="00203D59">
              <w:rPr>
                <w:rFonts w:eastAsia="Times New Roman"/>
                <w:color w:val="000000"/>
                <w:lang w:val="en-GB" w:eastAsia="de-DE"/>
              </w:rPr>
              <w:t>An overall Performance Evaluation Report shall summarise all performance evaluation results and shall contain at a minimum, where applicable:</w:t>
            </w:r>
          </w:p>
          <w:p w14:paraId="1D47823F" w14:textId="77777777" w:rsidR="00C57D72" w:rsidRDefault="00C57D72" w:rsidP="00161865">
            <w:pPr>
              <w:pStyle w:val="Listenabsatz"/>
              <w:numPr>
                <w:ilvl w:val="0"/>
                <w:numId w:val="9"/>
              </w:numPr>
              <w:adjustRightInd/>
              <w:spacing w:after="0" w:line="240" w:lineRule="auto"/>
              <w:ind w:right="0"/>
              <w:rPr>
                <w:rFonts w:eastAsia="Times New Roman"/>
                <w:color w:val="000000"/>
                <w:lang w:val="en-GB" w:eastAsia="de-DE"/>
              </w:rPr>
            </w:pPr>
            <w:r w:rsidRPr="00203D59">
              <w:rPr>
                <w:rFonts w:eastAsia="Times New Roman"/>
                <w:color w:val="000000"/>
                <w:lang w:val="en-GB" w:eastAsia="de-DE"/>
              </w:rPr>
              <w:t>Justification for the approach taken to gather clinical evidence.</w:t>
            </w:r>
          </w:p>
          <w:p w14:paraId="4EA1A165" w14:textId="77777777" w:rsidR="00C57D72" w:rsidRDefault="00C57D72" w:rsidP="00161865">
            <w:pPr>
              <w:pStyle w:val="Listenabsatz"/>
              <w:numPr>
                <w:ilvl w:val="0"/>
                <w:numId w:val="9"/>
              </w:numPr>
              <w:adjustRightInd/>
              <w:spacing w:after="0" w:line="240" w:lineRule="auto"/>
              <w:ind w:right="0"/>
              <w:rPr>
                <w:rFonts w:eastAsia="Times New Roman"/>
                <w:color w:val="000000"/>
                <w:lang w:val="en-GB" w:eastAsia="de-DE"/>
              </w:rPr>
            </w:pPr>
            <w:r w:rsidRPr="00203D59">
              <w:rPr>
                <w:rFonts w:eastAsia="Times New Roman"/>
                <w:color w:val="000000"/>
                <w:lang w:val="en-GB" w:eastAsia="de-DE"/>
              </w:rPr>
              <w:t>Literature search methodology / protocol / report of literature review (or a reference to it).</w:t>
            </w:r>
          </w:p>
          <w:p w14:paraId="6E1D2C71" w14:textId="77777777" w:rsidR="00C57D72" w:rsidRDefault="00C57D72" w:rsidP="00161865">
            <w:pPr>
              <w:pStyle w:val="Listenabsatz"/>
              <w:numPr>
                <w:ilvl w:val="0"/>
                <w:numId w:val="9"/>
              </w:numPr>
              <w:adjustRightInd/>
              <w:spacing w:after="0" w:line="240" w:lineRule="auto"/>
              <w:ind w:right="0"/>
              <w:rPr>
                <w:rFonts w:eastAsia="Times New Roman"/>
                <w:color w:val="000000"/>
                <w:lang w:val="en-GB" w:eastAsia="de-DE"/>
              </w:rPr>
            </w:pPr>
            <w:r w:rsidRPr="00203D59">
              <w:rPr>
                <w:rFonts w:eastAsia="Times New Roman"/>
                <w:color w:val="000000"/>
                <w:lang w:val="en-GB" w:eastAsia="de-DE"/>
              </w:rPr>
              <w:t xml:space="preserve"> Technology on which the device is based, the intended purpose of the device and any claims made about the device’s performance and/or safety.</w:t>
            </w:r>
          </w:p>
          <w:p w14:paraId="73DB51C7" w14:textId="77777777" w:rsidR="00C57D72" w:rsidRDefault="00C57D72" w:rsidP="00161865">
            <w:pPr>
              <w:pStyle w:val="Listenabsatz"/>
              <w:numPr>
                <w:ilvl w:val="0"/>
                <w:numId w:val="9"/>
              </w:numPr>
              <w:adjustRightInd/>
              <w:spacing w:after="0" w:line="240" w:lineRule="auto"/>
              <w:ind w:right="0"/>
              <w:rPr>
                <w:rFonts w:eastAsia="Times New Roman"/>
                <w:color w:val="000000"/>
                <w:lang w:val="en-GB" w:eastAsia="de-DE"/>
              </w:rPr>
            </w:pPr>
            <w:r w:rsidRPr="00203D59">
              <w:rPr>
                <w:rFonts w:eastAsia="Times New Roman"/>
                <w:color w:val="000000"/>
                <w:lang w:val="en-GB" w:eastAsia="de-DE"/>
              </w:rPr>
              <w:t>Scientific validity and analytical / clinical performance.</w:t>
            </w:r>
          </w:p>
          <w:p w14:paraId="317B5ACD" w14:textId="77777777" w:rsidR="00C57D72" w:rsidRDefault="00C57D72" w:rsidP="00161865">
            <w:pPr>
              <w:pStyle w:val="Listenabsatz"/>
              <w:numPr>
                <w:ilvl w:val="0"/>
                <w:numId w:val="9"/>
              </w:numPr>
              <w:adjustRightInd/>
              <w:spacing w:after="0" w:line="240" w:lineRule="auto"/>
              <w:ind w:right="0"/>
              <w:rPr>
                <w:rFonts w:eastAsia="Times New Roman"/>
                <w:color w:val="000000"/>
                <w:lang w:val="en-GB" w:eastAsia="de-DE"/>
              </w:rPr>
            </w:pPr>
            <w:r w:rsidRPr="00203D59">
              <w:rPr>
                <w:rFonts w:eastAsia="Times New Roman"/>
                <w:color w:val="000000"/>
                <w:lang w:val="en-GB" w:eastAsia="de-DE"/>
              </w:rPr>
              <w:t>Clinical evidence demonstrating the state-of-the-art of the device.</w:t>
            </w:r>
          </w:p>
          <w:p w14:paraId="79063087" w14:textId="21B17FAA" w:rsidR="00C57D72" w:rsidRPr="00203D59" w:rsidRDefault="00C57D72" w:rsidP="00161865">
            <w:pPr>
              <w:pStyle w:val="Listenabsatz"/>
              <w:numPr>
                <w:ilvl w:val="0"/>
                <w:numId w:val="9"/>
              </w:numPr>
              <w:adjustRightInd/>
              <w:spacing w:after="0" w:line="240" w:lineRule="auto"/>
              <w:ind w:right="0"/>
              <w:rPr>
                <w:rFonts w:eastAsia="Times New Roman"/>
                <w:color w:val="000000"/>
                <w:lang w:val="en-GB" w:eastAsia="de-DE"/>
              </w:rPr>
            </w:pPr>
            <w:r w:rsidRPr="00203D59">
              <w:rPr>
                <w:rFonts w:eastAsia="Times New Roman"/>
                <w:color w:val="000000"/>
                <w:lang w:val="en-GB" w:eastAsia="de-DE"/>
              </w:rPr>
              <w:t>New conclusions derived from Post-Market Performance Follow-Up (PMPF).</w:t>
            </w:r>
          </w:p>
        </w:tc>
        <w:tc>
          <w:tcPr>
            <w:tcW w:w="1014" w:type="dxa"/>
            <w:shd w:val="clear" w:color="000000" w:fill="FFFFFF"/>
            <w:noWrap/>
            <w:vAlign w:val="center"/>
          </w:tcPr>
          <w:p w14:paraId="7D80B56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DBD500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CA0D68A"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2B4A569" w14:textId="1BE288A5"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227A3E55" w14:textId="77777777" w:rsidTr="00161865">
        <w:trPr>
          <w:trHeight w:val="561"/>
        </w:trPr>
        <w:tc>
          <w:tcPr>
            <w:tcW w:w="715" w:type="dxa"/>
            <w:shd w:val="clear" w:color="auto" w:fill="EFF9FF"/>
            <w:noWrap/>
            <w:vAlign w:val="center"/>
          </w:tcPr>
          <w:p w14:paraId="1CD87D85" w14:textId="5CEA7E07"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5</w:t>
            </w:r>
          </w:p>
        </w:tc>
        <w:tc>
          <w:tcPr>
            <w:tcW w:w="4955" w:type="dxa"/>
            <w:shd w:val="clear" w:color="auto" w:fill="EFF9FF"/>
            <w:noWrap/>
            <w:vAlign w:val="center"/>
          </w:tcPr>
          <w:p w14:paraId="0B1883D4" w14:textId="77777777" w:rsidR="00C57D72"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 xml:space="preserve">Stability </w:t>
            </w:r>
          </w:p>
          <w:p w14:paraId="3854204C" w14:textId="01B82951" w:rsidR="00C57D72" w:rsidRPr="00BB11A8" w:rsidRDefault="00C57D72" w:rsidP="00161865">
            <w:pPr>
              <w:adjustRightInd/>
              <w:spacing w:after="0" w:line="240" w:lineRule="auto"/>
              <w:ind w:right="0"/>
              <w:rPr>
                <w:rFonts w:eastAsia="Times New Roman"/>
                <w:color w:val="000000"/>
                <w:lang w:val="en-GB" w:eastAsia="de-DE"/>
              </w:rPr>
            </w:pPr>
            <w:r w:rsidRPr="00BB11A8">
              <w:rPr>
                <w:rFonts w:eastAsia="Times New Roman"/>
                <w:color w:val="000000"/>
                <w:lang w:val="en-GB" w:eastAsia="de-DE"/>
              </w:rPr>
              <w:t>(R</w:t>
            </w:r>
            <w:r w:rsidR="00877C92">
              <w:rPr>
                <w:rFonts w:eastAsia="Times New Roman"/>
                <w:color w:val="000000"/>
                <w:lang w:val="en-GB" w:eastAsia="de-DE"/>
              </w:rPr>
              <w:t>egulation</w:t>
            </w:r>
            <w:r w:rsidRPr="00BB11A8">
              <w:rPr>
                <w:rFonts w:eastAsia="Times New Roman"/>
                <w:color w:val="000000"/>
                <w:lang w:val="en-GB" w:eastAsia="de-DE"/>
              </w:rPr>
              <w:t xml:space="preserve"> (EU) 2017/746 (IVDR), Annex II Section 6.3)</w:t>
            </w:r>
          </w:p>
        </w:tc>
        <w:tc>
          <w:tcPr>
            <w:tcW w:w="1014" w:type="dxa"/>
            <w:shd w:val="clear" w:color="auto" w:fill="EFF9FF"/>
            <w:noWrap/>
            <w:vAlign w:val="center"/>
          </w:tcPr>
          <w:p w14:paraId="0E67DA4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412E9BE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15A15140"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341EF3C3" w14:textId="2153599B" w:rsidR="00C57D72" w:rsidRPr="004C3A94" w:rsidRDefault="00C57D72" w:rsidP="00161865">
            <w:pPr>
              <w:adjustRightInd/>
              <w:spacing w:after="0" w:line="240" w:lineRule="auto"/>
              <w:ind w:right="0"/>
              <w:rPr>
                <w:rFonts w:eastAsia="Times New Roman" w:cs="Calibri"/>
                <w:color w:val="000000"/>
                <w:lang w:val="en-GB" w:eastAsia="de-DE"/>
              </w:rPr>
            </w:pPr>
          </w:p>
        </w:tc>
      </w:tr>
      <w:tr w:rsidR="00F1389C" w:rsidRPr="00AF7A73" w14:paraId="3C0D4DFE" w14:textId="77777777" w:rsidTr="00161865">
        <w:trPr>
          <w:trHeight w:val="561"/>
        </w:trPr>
        <w:tc>
          <w:tcPr>
            <w:tcW w:w="715" w:type="dxa"/>
            <w:shd w:val="clear" w:color="000000" w:fill="FFFFFF"/>
            <w:noWrap/>
            <w:vAlign w:val="center"/>
          </w:tcPr>
          <w:p w14:paraId="2AA64B48" w14:textId="33A75773" w:rsidR="00F1389C" w:rsidRPr="00A0478D" w:rsidRDefault="00F1389C"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6.5.1</w:t>
            </w:r>
          </w:p>
        </w:tc>
        <w:tc>
          <w:tcPr>
            <w:tcW w:w="4955" w:type="dxa"/>
            <w:shd w:val="clear" w:color="000000" w:fill="FFFFFF"/>
            <w:noWrap/>
            <w:vAlign w:val="center"/>
          </w:tcPr>
          <w:p w14:paraId="48A2D8A8" w14:textId="03EDBD10" w:rsidR="00F1389C" w:rsidRPr="00A47D43" w:rsidRDefault="00F1389C" w:rsidP="00161865">
            <w:pPr>
              <w:adjustRightInd/>
              <w:spacing w:after="0" w:line="240" w:lineRule="auto"/>
              <w:ind w:right="0"/>
              <w:rPr>
                <w:rFonts w:eastAsia="Times New Roman"/>
                <w:b/>
                <w:color w:val="000000"/>
                <w:lang w:val="en-GB" w:eastAsia="de-DE"/>
              </w:rPr>
            </w:pPr>
            <w:r w:rsidRPr="00A47D43">
              <w:rPr>
                <w:rFonts w:eastAsia="Times New Roman"/>
                <w:b/>
                <w:color w:val="000000"/>
                <w:lang w:val="en-GB" w:eastAsia="de-DE"/>
              </w:rPr>
              <w:t>Claimed shelf-life</w:t>
            </w:r>
          </w:p>
        </w:tc>
        <w:tc>
          <w:tcPr>
            <w:tcW w:w="1014" w:type="dxa"/>
            <w:shd w:val="clear" w:color="000000" w:fill="FFFFFF"/>
            <w:noWrap/>
            <w:vAlign w:val="center"/>
          </w:tcPr>
          <w:p w14:paraId="2A5E7428" w14:textId="77777777" w:rsidR="00F1389C" w:rsidRPr="004C3A94" w:rsidRDefault="00F1389C"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49AF52E" w14:textId="77777777" w:rsidR="00F1389C" w:rsidRPr="004C3A94" w:rsidRDefault="00F1389C"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7BCA699" w14:textId="77777777" w:rsidR="00F1389C" w:rsidRPr="004C3A94" w:rsidRDefault="00F1389C"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B5020F6" w14:textId="77777777" w:rsidR="00F1389C" w:rsidRPr="004C3A94" w:rsidRDefault="00F1389C" w:rsidP="00161865">
            <w:pPr>
              <w:adjustRightInd/>
              <w:spacing w:after="0" w:line="240" w:lineRule="auto"/>
              <w:ind w:right="0"/>
              <w:rPr>
                <w:rFonts w:eastAsia="Times New Roman" w:cs="Calibri"/>
                <w:color w:val="000000"/>
                <w:lang w:val="en-GB" w:eastAsia="de-DE"/>
              </w:rPr>
            </w:pPr>
          </w:p>
        </w:tc>
      </w:tr>
      <w:tr w:rsidR="00F1389C" w:rsidRPr="004B5366" w14:paraId="015CEC06" w14:textId="77777777" w:rsidTr="00161865">
        <w:trPr>
          <w:trHeight w:val="561"/>
        </w:trPr>
        <w:tc>
          <w:tcPr>
            <w:tcW w:w="715" w:type="dxa"/>
            <w:shd w:val="clear" w:color="000000" w:fill="FFFFFF"/>
            <w:noWrap/>
            <w:vAlign w:val="center"/>
          </w:tcPr>
          <w:p w14:paraId="480F7653" w14:textId="77777777" w:rsidR="00F1389C" w:rsidRPr="00A0478D" w:rsidRDefault="00F1389C"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1E0CE331" w14:textId="77777777" w:rsidR="00F1389C" w:rsidRDefault="00F1389C" w:rsidP="00161865">
            <w:pPr>
              <w:adjustRightInd/>
              <w:spacing w:after="0" w:line="240" w:lineRule="auto"/>
              <w:ind w:right="0"/>
              <w:rPr>
                <w:rFonts w:eastAsia="Times New Roman"/>
                <w:bCs/>
                <w:color w:val="000000"/>
                <w:lang w:val="en-GB" w:eastAsia="de-DE"/>
              </w:rPr>
            </w:pPr>
            <w:r w:rsidRPr="00F1389C">
              <w:rPr>
                <w:rFonts w:eastAsia="Times New Roman"/>
                <w:bCs/>
                <w:color w:val="000000"/>
                <w:lang w:val="en-GB" w:eastAsia="de-DE"/>
              </w:rPr>
              <w:t xml:space="preserve">This Section shall provide information on stability testing studies to support the shelf life that is claimed for the device. Testing shall be performed on at least three different lots manufactured under conditions that are essentially equivalent to routine production conditions. The three lots do not need to be consecutive. Accelerated studies or extrapolated data from real time data are </w:t>
            </w:r>
            <w:r w:rsidRPr="00F1389C">
              <w:rPr>
                <w:rFonts w:eastAsia="Times New Roman"/>
                <w:bCs/>
                <w:color w:val="000000"/>
                <w:lang w:val="en-GB" w:eastAsia="de-DE"/>
              </w:rPr>
              <w:lastRenderedPageBreak/>
              <w:t xml:space="preserve">acceptable for initial shelf-life claims but shall be followed up with real time stability studies. </w:t>
            </w:r>
          </w:p>
          <w:p w14:paraId="728D4C46" w14:textId="77777777" w:rsidR="00F1389C" w:rsidRDefault="00F1389C" w:rsidP="00161865">
            <w:pPr>
              <w:adjustRightInd/>
              <w:spacing w:after="0" w:line="240" w:lineRule="auto"/>
              <w:ind w:right="0"/>
              <w:rPr>
                <w:rFonts w:eastAsia="Times New Roman"/>
                <w:bCs/>
                <w:color w:val="000000"/>
                <w:lang w:val="en-GB" w:eastAsia="de-DE"/>
              </w:rPr>
            </w:pPr>
            <w:r w:rsidRPr="00F1389C">
              <w:rPr>
                <w:rFonts w:eastAsia="Times New Roman"/>
                <w:bCs/>
                <w:color w:val="000000"/>
                <w:lang w:val="en-GB" w:eastAsia="de-DE"/>
              </w:rPr>
              <w:t xml:space="preserve">Such detailed information shall include: </w:t>
            </w:r>
          </w:p>
          <w:p w14:paraId="6D95A025" w14:textId="77777777" w:rsidR="00F1389C" w:rsidRDefault="00F1389C" w:rsidP="00161865">
            <w:pPr>
              <w:pStyle w:val="Listenabsatz"/>
              <w:numPr>
                <w:ilvl w:val="0"/>
                <w:numId w:val="20"/>
              </w:numPr>
              <w:adjustRightInd/>
              <w:spacing w:after="0" w:line="240" w:lineRule="auto"/>
              <w:ind w:right="0"/>
              <w:rPr>
                <w:rFonts w:eastAsia="Times New Roman"/>
                <w:bCs/>
                <w:color w:val="000000"/>
                <w:lang w:val="en-GB" w:eastAsia="de-DE"/>
              </w:rPr>
            </w:pPr>
            <w:r w:rsidRPr="00F1389C">
              <w:rPr>
                <w:rFonts w:eastAsia="Times New Roman"/>
                <w:bCs/>
                <w:color w:val="000000"/>
                <w:lang w:val="en-GB" w:eastAsia="de-DE"/>
              </w:rPr>
              <w:t xml:space="preserve">the study report including the protocol, number of lots, acceptance criteria and testing intervals; </w:t>
            </w:r>
          </w:p>
          <w:p w14:paraId="49683287" w14:textId="77777777" w:rsidR="00F1389C" w:rsidRDefault="00F1389C" w:rsidP="00161865">
            <w:pPr>
              <w:pStyle w:val="Listenabsatz"/>
              <w:numPr>
                <w:ilvl w:val="0"/>
                <w:numId w:val="20"/>
              </w:numPr>
              <w:adjustRightInd/>
              <w:spacing w:after="0" w:line="240" w:lineRule="auto"/>
              <w:ind w:right="0"/>
              <w:rPr>
                <w:rFonts w:eastAsia="Times New Roman"/>
                <w:bCs/>
                <w:color w:val="000000"/>
                <w:lang w:val="en-GB" w:eastAsia="de-DE"/>
              </w:rPr>
            </w:pPr>
            <w:r w:rsidRPr="00F1389C">
              <w:rPr>
                <w:rFonts w:eastAsia="Times New Roman"/>
                <w:bCs/>
                <w:color w:val="000000"/>
                <w:lang w:val="en-GB" w:eastAsia="de-DE"/>
              </w:rPr>
              <w:t>where accelerated studies have been performed in anticipation of the real time studies, the method used for accelerated studies shall be described;</w:t>
            </w:r>
          </w:p>
          <w:p w14:paraId="143B2419" w14:textId="55E3D3A2" w:rsidR="00F1389C" w:rsidRPr="00A47D43" w:rsidRDefault="00F1389C" w:rsidP="00161865">
            <w:pPr>
              <w:pStyle w:val="Listenabsatz"/>
              <w:numPr>
                <w:ilvl w:val="0"/>
                <w:numId w:val="20"/>
              </w:numPr>
              <w:adjustRightInd/>
              <w:spacing w:after="0" w:line="240" w:lineRule="auto"/>
              <w:ind w:right="0"/>
              <w:rPr>
                <w:rFonts w:eastAsia="Times New Roman"/>
                <w:bCs/>
                <w:color w:val="000000"/>
                <w:lang w:val="en-GB" w:eastAsia="de-DE"/>
              </w:rPr>
            </w:pPr>
            <w:r w:rsidRPr="00F1389C">
              <w:rPr>
                <w:rFonts w:eastAsia="Times New Roman"/>
                <w:bCs/>
                <w:color w:val="000000"/>
                <w:lang w:val="en-GB" w:eastAsia="de-DE"/>
              </w:rPr>
              <w:t>the conclusions and claimed shelf life.</w:t>
            </w:r>
          </w:p>
        </w:tc>
        <w:tc>
          <w:tcPr>
            <w:tcW w:w="1014" w:type="dxa"/>
            <w:shd w:val="clear" w:color="000000" w:fill="FFFFFF"/>
            <w:noWrap/>
            <w:vAlign w:val="center"/>
          </w:tcPr>
          <w:p w14:paraId="3BE493AC" w14:textId="77777777" w:rsidR="00F1389C" w:rsidRPr="004C3A94" w:rsidRDefault="00F1389C"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B01F6FD" w14:textId="77777777" w:rsidR="00F1389C" w:rsidRPr="004C3A94" w:rsidRDefault="00F1389C"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56D2905" w14:textId="77777777" w:rsidR="00F1389C" w:rsidRPr="004C3A94" w:rsidRDefault="00F1389C"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7CB67E0" w14:textId="77777777" w:rsidR="00F1389C" w:rsidRPr="004C3A94" w:rsidRDefault="00F1389C" w:rsidP="00161865">
            <w:pPr>
              <w:adjustRightInd/>
              <w:spacing w:after="0" w:line="240" w:lineRule="auto"/>
              <w:ind w:right="0"/>
              <w:rPr>
                <w:rFonts w:eastAsia="Times New Roman" w:cs="Calibri"/>
                <w:color w:val="000000"/>
                <w:lang w:val="en-GB" w:eastAsia="de-DE"/>
              </w:rPr>
            </w:pPr>
          </w:p>
        </w:tc>
      </w:tr>
      <w:tr w:rsidR="00C57D72" w:rsidRPr="00AF7A73" w14:paraId="1775CA8B" w14:textId="77777777" w:rsidTr="00161865">
        <w:trPr>
          <w:trHeight w:val="561"/>
        </w:trPr>
        <w:tc>
          <w:tcPr>
            <w:tcW w:w="715" w:type="dxa"/>
            <w:shd w:val="clear" w:color="000000" w:fill="FFFFFF"/>
            <w:noWrap/>
            <w:vAlign w:val="center"/>
          </w:tcPr>
          <w:p w14:paraId="3C34BB5D" w14:textId="28040BBD" w:rsidR="00C57D72" w:rsidRPr="00A0478D" w:rsidRDefault="00F1389C"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6.5.2</w:t>
            </w:r>
          </w:p>
        </w:tc>
        <w:tc>
          <w:tcPr>
            <w:tcW w:w="4955" w:type="dxa"/>
            <w:shd w:val="clear" w:color="000000" w:fill="FFFFFF"/>
            <w:noWrap/>
            <w:vAlign w:val="center"/>
          </w:tcPr>
          <w:p w14:paraId="4E04B2C7" w14:textId="1C72DDA4" w:rsidR="00C57D72" w:rsidRPr="00BB11A8" w:rsidRDefault="00F1389C" w:rsidP="00161865">
            <w:pPr>
              <w:adjustRightInd/>
              <w:spacing w:after="0" w:line="240" w:lineRule="auto"/>
              <w:ind w:right="0"/>
              <w:rPr>
                <w:rFonts w:eastAsia="Times New Roman"/>
                <w:b/>
                <w:bCs/>
                <w:color w:val="000000"/>
                <w:lang w:val="en-GB" w:eastAsia="de-DE"/>
              </w:rPr>
            </w:pPr>
            <w:r w:rsidRPr="00F1389C">
              <w:rPr>
                <w:rFonts w:eastAsia="Times New Roman"/>
                <w:b/>
                <w:bCs/>
                <w:color w:val="000000"/>
                <w:lang w:val="en-GB" w:eastAsia="de-DE"/>
              </w:rPr>
              <w:t>In-use stability</w:t>
            </w:r>
          </w:p>
        </w:tc>
        <w:tc>
          <w:tcPr>
            <w:tcW w:w="1014" w:type="dxa"/>
            <w:shd w:val="clear" w:color="000000" w:fill="FFFFFF"/>
            <w:noWrap/>
            <w:vAlign w:val="center"/>
          </w:tcPr>
          <w:p w14:paraId="254B6DE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9C35F07"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3CD3697"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372166E9" w14:textId="68B6B1BB" w:rsidR="00C57D72" w:rsidRPr="004C3A94" w:rsidRDefault="00C57D72" w:rsidP="00161865">
            <w:pPr>
              <w:adjustRightInd/>
              <w:spacing w:after="0" w:line="240" w:lineRule="auto"/>
              <w:ind w:right="0"/>
              <w:rPr>
                <w:rFonts w:eastAsia="Times New Roman" w:cs="Calibri"/>
                <w:color w:val="000000"/>
                <w:lang w:val="en-GB" w:eastAsia="de-DE"/>
              </w:rPr>
            </w:pPr>
          </w:p>
        </w:tc>
      </w:tr>
      <w:tr w:rsidR="00F1389C" w:rsidRPr="004B5366" w14:paraId="6D5ABDC9" w14:textId="77777777" w:rsidTr="00161865">
        <w:trPr>
          <w:trHeight w:val="561"/>
        </w:trPr>
        <w:tc>
          <w:tcPr>
            <w:tcW w:w="715" w:type="dxa"/>
            <w:shd w:val="clear" w:color="000000" w:fill="FFFFFF"/>
            <w:noWrap/>
            <w:vAlign w:val="center"/>
          </w:tcPr>
          <w:p w14:paraId="51D8C694" w14:textId="77777777" w:rsidR="00F1389C" w:rsidRPr="00F1389C" w:rsidRDefault="00F1389C" w:rsidP="00161865">
            <w:pPr>
              <w:adjustRightInd/>
              <w:spacing w:after="0" w:line="240" w:lineRule="auto"/>
              <w:ind w:right="0"/>
              <w:rPr>
                <w:rFonts w:eastAsia="Times New Roman" w:cs="Calibri"/>
                <w:bCs/>
                <w:color w:val="000000"/>
                <w:lang w:val="en-GB" w:eastAsia="de-DE"/>
              </w:rPr>
            </w:pPr>
          </w:p>
        </w:tc>
        <w:tc>
          <w:tcPr>
            <w:tcW w:w="4955" w:type="dxa"/>
            <w:shd w:val="clear" w:color="000000" w:fill="FFFFFF"/>
            <w:noWrap/>
            <w:vAlign w:val="center"/>
          </w:tcPr>
          <w:p w14:paraId="0BCC0ECD" w14:textId="2E608ACB" w:rsidR="00F1389C" w:rsidRDefault="00F1389C" w:rsidP="00161865">
            <w:pPr>
              <w:adjustRightInd/>
              <w:spacing w:after="0" w:line="240" w:lineRule="auto"/>
              <w:ind w:right="0"/>
              <w:rPr>
                <w:rFonts w:eastAsia="Times New Roman"/>
                <w:bCs/>
                <w:color w:val="000000"/>
                <w:lang w:val="en-GB" w:eastAsia="de-DE"/>
              </w:rPr>
            </w:pPr>
            <w:r w:rsidRPr="00F1389C">
              <w:rPr>
                <w:rFonts w:eastAsia="Times New Roman"/>
                <w:bCs/>
                <w:color w:val="000000"/>
                <w:lang w:val="en-GB" w:eastAsia="de-DE"/>
              </w:rPr>
              <w:t>This Section shall provide information on in-use stability studies for one lot reflecting actual routine use of the device, regardless of whether real or simulated. This may include open vial stability and/or, for automated instruments, on board stability.</w:t>
            </w:r>
          </w:p>
          <w:p w14:paraId="7F946D36" w14:textId="77777777" w:rsidR="00A47D43" w:rsidRDefault="00A47D43" w:rsidP="00161865">
            <w:pPr>
              <w:adjustRightInd/>
              <w:spacing w:after="0" w:line="240" w:lineRule="auto"/>
              <w:ind w:right="0"/>
              <w:rPr>
                <w:sz w:val="19"/>
                <w:szCs w:val="19"/>
                <w:lang w:val="en-US"/>
              </w:rPr>
            </w:pPr>
            <w:r w:rsidRPr="00A47D43">
              <w:rPr>
                <w:sz w:val="19"/>
                <w:szCs w:val="19"/>
                <w:lang w:val="en-US"/>
              </w:rPr>
              <w:t xml:space="preserve">In the case of automated instrumentation, if calibration stability is claimed, supporting data shall be included. </w:t>
            </w:r>
          </w:p>
          <w:p w14:paraId="497DA3CE" w14:textId="77777777" w:rsidR="00A47D43" w:rsidRDefault="00A47D43" w:rsidP="00161865">
            <w:pPr>
              <w:adjustRightInd/>
              <w:spacing w:after="0" w:line="240" w:lineRule="auto"/>
              <w:ind w:right="0"/>
              <w:rPr>
                <w:sz w:val="19"/>
                <w:szCs w:val="19"/>
                <w:lang w:val="en-US"/>
              </w:rPr>
            </w:pPr>
            <w:r w:rsidRPr="00A47D43">
              <w:rPr>
                <w:sz w:val="19"/>
                <w:szCs w:val="19"/>
                <w:lang w:val="en-US"/>
              </w:rPr>
              <w:t xml:space="preserve">Such detailed information shall include: </w:t>
            </w:r>
          </w:p>
          <w:p w14:paraId="02CC5077" w14:textId="77777777" w:rsidR="00A47D43" w:rsidRPr="00A47D43" w:rsidRDefault="00A47D43" w:rsidP="00161865">
            <w:pPr>
              <w:pStyle w:val="Listenabsatz"/>
              <w:numPr>
                <w:ilvl w:val="0"/>
                <w:numId w:val="21"/>
              </w:numPr>
              <w:adjustRightInd/>
              <w:spacing w:after="0" w:line="240" w:lineRule="auto"/>
              <w:ind w:right="0"/>
              <w:rPr>
                <w:rFonts w:eastAsia="Times New Roman"/>
                <w:bCs/>
                <w:color w:val="000000"/>
                <w:lang w:val="en-US" w:eastAsia="de-DE"/>
              </w:rPr>
            </w:pPr>
            <w:r w:rsidRPr="00A47D43">
              <w:rPr>
                <w:sz w:val="19"/>
                <w:szCs w:val="19"/>
                <w:lang w:val="en-US"/>
              </w:rPr>
              <w:t xml:space="preserve">the study report (including the protocol, acceptance criteria and testing intervals); </w:t>
            </w:r>
          </w:p>
          <w:p w14:paraId="48B949B0" w14:textId="4EADF63D" w:rsidR="00A47D43" w:rsidRPr="00A47D43" w:rsidRDefault="00A47D43" w:rsidP="00161865">
            <w:pPr>
              <w:pStyle w:val="Listenabsatz"/>
              <w:numPr>
                <w:ilvl w:val="0"/>
                <w:numId w:val="21"/>
              </w:numPr>
              <w:adjustRightInd/>
              <w:spacing w:after="0" w:line="240" w:lineRule="auto"/>
              <w:ind w:right="0"/>
              <w:rPr>
                <w:rFonts w:eastAsia="Times New Roman"/>
                <w:bCs/>
                <w:color w:val="000000"/>
                <w:lang w:val="en-US" w:eastAsia="de-DE"/>
              </w:rPr>
            </w:pPr>
            <w:r w:rsidRPr="00A47D43">
              <w:rPr>
                <w:sz w:val="19"/>
                <w:szCs w:val="19"/>
                <w:lang w:val="en-US"/>
              </w:rPr>
              <w:t>the conclusions and claimed in-use stability.</w:t>
            </w:r>
          </w:p>
          <w:p w14:paraId="0446F7C8" w14:textId="203AD362" w:rsidR="00A47D43" w:rsidRPr="00F1389C" w:rsidRDefault="00A47D43" w:rsidP="00161865">
            <w:pPr>
              <w:adjustRightInd/>
              <w:spacing w:after="0" w:line="240" w:lineRule="auto"/>
              <w:ind w:right="0"/>
              <w:rPr>
                <w:rFonts w:eastAsia="Times New Roman"/>
                <w:bCs/>
                <w:color w:val="000000"/>
                <w:lang w:val="en-GB" w:eastAsia="de-DE"/>
              </w:rPr>
            </w:pPr>
          </w:p>
        </w:tc>
        <w:tc>
          <w:tcPr>
            <w:tcW w:w="1014" w:type="dxa"/>
            <w:shd w:val="clear" w:color="000000" w:fill="FFFFFF"/>
            <w:noWrap/>
            <w:vAlign w:val="center"/>
          </w:tcPr>
          <w:p w14:paraId="319C693B" w14:textId="77777777" w:rsidR="00F1389C" w:rsidRPr="004C3A94" w:rsidRDefault="00F1389C"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87DD167" w14:textId="77777777" w:rsidR="00F1389C" w:rsidRPr="004C3A94" w:rsidRDefault="00F1389C"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DD73581" w14:textId="77777777" w:rsidR="00F1389C" w:rsidRPr="004C3A94" w:rsidRDefault="00F1389C"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42C94F0" w14:textId="77777777" w:rsidR="00F1389C" w:rsidRPr="004C3A94" w:rsidRDefault="00F1389C" w:rsidP="00161865">
            <w:pPr>
              <w:adjustRightInd/>
              <w:spacing w:after="0" w:line="240" w:lineRule="auto"/>
              <w:ind w:right="0"/>
              <w:rPr>
                <w:rFonts w:eastAsia="Times New Roman" w:cs="Calibri"/>
                <w:color w:val="000000"/>
                <w:lang w:val="en-GB" w:eastAsia="de-DE"/>
              </w:rPr>
            </w:pPr>
          </w:p>
        </w:tc>
      </w:tr>
      <w:tr w:rsidR="00A47D43" w:rsidRPr="00AF7A73" w14:paraId="3DE37802" w14:textId="77777777" w:rsidTr="00161865">
        <w:trPr>
          <w:trHeight w:val="561"/>
        </w:trPr>
        <w:tc>
          <w:tcPr>
            <w:tcW w:w="715" w:type="dxa"/>
            <w:shd w:val="clear" w:color="000000" w:fill="FFFFFF"/>
            <w:noWrap/>
            <w:vAlign w:val="center"/>
          </w:tcPr>
          <w:p w14:paraId="1F2DC123" w14:textId="29D1E125" w:rsidR="00A47D43" w:rsidRPr="00A0478D" w:rsidRDefault="00A47D43"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6.5.3</w:t>
            </w:r>
          </w:p>
        </w:tc>
        <w:tc>
          <w:tcPr>
            <w:tcW w:w="4955" w:type="dxa"/>
            <w:shd w:val="clear" w:color="000000" w:fill="FFFFFF"/>
            <w:noWrap/>
            <w:vAlign w:val="center"/>
          </w:tcPr>
          <w:p w14:paraId="39572119" w14:textId="0C5AE2DA" w:rsidR="00A47D43" w:rsidRPr="00BB11A8" w:rsidRDefault="00A47D43" w:rsidP="00161865">
            <w:pPr>
              <w:adjustRightInd/>
              <w:spacing w:after="0" w:line="240" w:lineRule="auto"/>
              <w:ind w:right="0"/>
              <w:rPr>
                <w:rFonts w:eastAsia="Times New Roman"/>
                <w:b/>
                <w:bCs/>
                <w:color w:val="000000"/>
                <w:lang w:val="en-GB" w:eastAsia="de-DE"/>
              </w:rPr>
            </w:pPr>
            <w:r w:rsidRPr="00A47D43">
              <w:rPr>
                <w:rFonts w:eastAsia="Times New Roman"/>
                <w:b/>
                <w:bCs/>
                <w:color w:val="000000"/>
                <w:lang w:val="en-GB" w:eastAsia="de-DE"/>
              </w:rPr>
              <w:t>Shipping stability</w:t>
            </w:r>
          </w:p>
        </w:tc>
        <w:tc>
          <w:tcPr>
            <w:tcW w:w="1014" w:type="dxa"/>
            <w:shd w:val="clear" w:color="000000" w:fill="FFFFFF"/>
            <w:noWrap/>
            <w:vAlign w:val="center"/>
          </w:tcPr>
          <w:p w14:paraId="5E9D9D90" w14:textId="77777777" w:rsidR="00A47D43" w:rsidRPr="004C3A94" w:rsidRDefault="00A47D43"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FB28337" w14:textId="77777777" w:rsidR="00A47D43" w:rsidRPr="004C3A94" w:rsidRDefault="00A47D43"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E60B004" w14:textId="77777777" w:rsidR="00A47D43" w:rsidRPr="004C3A94" w:rsidRDefault="00A47D43"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3E4D7DE4" w14:textId="77777777" w:rsidR="00A47D43" w:rsidRPr="004C3A94" w:rsidRDefault="00A47D43" w:rsidP="00161865">
            <w:pPr>
              <w:adjustRightInd/>
              <w:spacing w:after="0" w:line="240" w:lineRule="auto"/>
              <w:ind w:right="0"/>
              <w:rPr>
                <w:rFonts w:eastAsia="Times New Roman" w:cs="Calibri"/>
                <w:color w:val="000000"/>
                <w:lang w:val="en-GB" w:eastAsia="de-DE"/>
              </w:rPr>
            </w:pPr>
          </w:p>
        </w:tc>
      </w:tr>
      <w:tr w:rsidR="00A47D43" w:rsidRPr="004B5366" w14:paraId="4BF426D1" w14:textId="77777777" w:rsidTr="00161865">
        <w:trPr>
          <w:trHeight w:val="561"/>
        </w:trPr>
        <w:tc>
          <w:tcPr>
            <w:tcW w:w="715" w:type="dxa"/>
            <w:shd w:val="clear" w:color="000000" w:fill="FFFFFF"/>
            <w:noWrap/>
            <w:vAlign w:val="center"/>
          </w:tcPr>
          <w:p w14:paraId="708BF987" w14:textId="77777777" w:rsidR="00A47D43" w:rsidRPr="00A0478D" w:rsidRDefault="00A47D43"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42000D5" w14:textId="77777777" w:rsidR="00A47D43" w:rsidRDefault="00A47D43" w:rsidP="00161865">
            <w:pPr>
              <w:adjustRightInd/>
              <w:spacing w:after="0" w:line="240" w:lineRule="auto"/>
              <w:ind w:right="0"/>
              <w:rPr>
                <w:rFonts w:eastAsia="Times New Roman"/>
                <w:bCs/>
                <w:color w:val="000000"/>
                <w:lang w:val="en-GB" w:eastAsia="de-DE"/>
              </w:rPr>
            </w:pPr>
            <w:r w:rsidRPr="00A47D43">
              <w:rPr>
                <w:rFonts w:eastAsia="Times New Roman"/>
                <w:bCs/>
                <w:color w:val="000000"/>
                <w:lang w:val="en-GB" w:eastAsia="de-DE"/>
              </w:rPr>
              <w:t xml:space="preserve">This Section shall provide information on shipping stability studies for one lot of devices to evaluate the tolerance of devices to the anticipated shipping conditions. Shipping studies may be done under real and/or simulated </w:t>
            </w:r>
            <w:r w:rsidRPr="00A47D43">
              <w:rPr>
                <w:rFonts w:eastAsia="Times New Roman"/>
                <w:bCs/>
                <w:color w:val="000000"/>
                <w:lang w:val="en-GB" w:eastAsia="de-DE"/>
              </w:rPr>
              <w:lastRenderedPageBreak/>
              <w:t xml:space="preserve">conditions and shall include variable shipping conditions such as extreme heat and/or cold. Such information shall describe: </w:t>
            </w:r>
          </w:p>
          <w:p w14:paraId="11E5C34A" w14:textId="77777777" w:rsidR="00A47D43" w:rsidRDefault="00A47D43" w:rsidP="00161865">
            <w:pPr>
              <w:pStyle w:val="Listenabsatz"/>
              <w:numPr>
                <w:ilvl w:val="0"/>
                <w:numId w:val="22"/>
              </w:numPr>
              <w:adjustRightInd/>
              <w:spacing w:after="0" w:line="240" w:lineRule="auto"/>
              <w:ind w:right="0"/>
              <w:rPr>
                <w:rFonts w:eastAsia="Times New Roman"/>
                <w:bCs/>
                <w:color w:val="000000"/>
                <w:lang w:val="en-GB" w:eastAsia="de-DE"/>
              </w:rPr>
            </w:pPr>
            <w:r w:rsidRPr="00A47D43">
              <w:rPr>
                <w:rFonts w:eastAsia="Times New Roman"/>
                <w:bCs/>
                <w:color w:val="000000"/>
                <w:lang w:val="en-GB" w:eastAsia="de-DE"/>
              </w:rPr>
              <w:t xml:space="preserve">the study report (including the protocol, acceptance criteria); </w:t>
            </w:r>
          </w:p>
          <w:p w14:paraId="2E130D5F" w14:textId="77777777" w:rsidR="00A47D43" w:rsidRDefault="00A47D43" w:rsidP="00161865">
            <w:pPr>
              <w:pStyle w:val="Listenabsatz"/>
              <w:numPr>
                <w:ilvl w:val="0"/>
                <w:numId w:val="22"/>
              </w:numPr>
              <w:adjustRightInd/>
              <w:spacing w:after="0" w:line="240" w:lineRule="auto"/>
              <w:ind w:right="0"/>
              <w:rPr>
                <w:rFonts w:eastAsia="Times New Roman"/>
                <w:bCs/>
                <w:color w:val="000000"/>
                <w:lang w:val="en-GB" w:eastAsia="de-DE"/>
              </w:rPr>
            </w:pPr>
            <w:r w:rsidRPr="00A47D43">
              <w:rPr>
                <w:rFonts w:eastAsia="Times New Roman"/>
                <w:bCs/>
                <w:color w:val="000000"/>
                <w:lang w:val="en-GB" w:eastAsia="de-DE"/>
              </w:rPr>
              <w:t xml:space="preserve">the method used for simulated conditions; </w:t>
            </w:r>
          </w:p>
          <w:p w14:paraId="44F09FD6" w14:textId="1AFE6FC8" w:rsidR="00A47D43" w:rsidRPr="00A47D43" w:rsidRDefault="00A47D43" w:rsidP="00161865">
            <w:pPr>
              <w:pStyle w:val="Listenabsatz"/>
              <w:numPr>
                <w:ilvl w:val="0"/>
                <w:numId w:val="22"/>
              </w:numPr>
              <w:adjustRightInd/>
              <w:spacing w:after="0" w:line="240" w:lineRule="auto"/>
              <w:ind w:right="0"/>
              <w:rPr>
                <w:rFonts w:eastAsia="Times New Roman"/>
                <w:bCs/>
                <w:color w:val="000000"/>
                <w:lang w:val="en-GB" w:eastAsia="de-DE"/>
              </w:rPr>
            </w:pPr>
            <w:r w:rsidRPr="00A47D43">
              <w:rPr>
                <w:rFonts w:eastAsia="Times New Roman"/>
                <w:bCs/>
                <w:color w:val="000000"/>
                <w:lang w:val="en-GB" w:eastAsia="de-DE"/>
              </w:rPr>
              <w:t>the conclusion and recommended shipping conditions.</w:t>
            </w:r>
          </w:p>
        </w:tc>
        <w:tc>
          <w:tcPr>
            <w:tcW w:w="1014" w:type="dxa"/>
            <w:shd w:val="clear" w:color="000000" w:fill="FFFFFF"/>
            <w:noWrap/>
            <w:vAlign w:val="center"/>
          </w:tcPr>
          <w:p w14:paraId="5E30AEE1" w14:textId="77777777" w:rsidR="00A47D43" w:rsidRPr="004C3A94" w:rsidRDefault="00A47D43"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CB1DB49" w14:textId="77777777" w:rsidR="00A47D43" w:rsidRPr="004C3A94" w:rsidRDefault="00A47D43"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E36486D" w14:textId="77777777" w:rsidR="00A47D43" w:rsidRPr="004C3A94" w:rsidRDefault="00A47D43"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3854D53" w14:textId="77777777" w:rsidR="00A47D43" w:rsidRPr="004C3A94" w:rsidRDefault="00A47D43" w:rsidP="00161865">
            <w:pPr>
              <w:adjustRightInd/>
              <w:spacing w:after="0" w:line="240" w:lineRule="auto"/>
              <w:ind w:right="0"/>
              <w:rPr>
                <w:rFonts w:eastAsia="Times New Roman" w:cs="Calibri"/>
                <w:color w:val="000000"/>
                <w:lang w:val="en-GB" w:eastAsia="de-DE"/>
              </w:rPr>
            </w:pPr>
          </w:p>
        </w:tc>
      </w:tr>
      <w:tr w:rsidR="00C57D72" w:rsidRPr="004B5366" w14:paraId="64818C8B" w14:textId="77777777" w:rsidTr="00161865">
        <w:trPr>
          <w:trHeight w:val="561"/>
        </w:trPr>
        <w:tc>
          <w:tcPr>
            <w:tcW w:w="715" w:type="dxa"/>
            <w:shd w:val="clear" w:color="auto" w:fill="EFF9FF"/>
            <w:noWrap/>
            <w:vAlign w:val="center"/>
          </w:tcPr>
          <w:p w14:paraId="2805F537" w14:textId="14B9B9EA"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6</w:t>
            </w:r>
          </w:p>
        </w:tc>
        <w:tc>
          <w:tcPr>
            <w:tcW w:w="4955" w:type="dxa"/>
            <w:shd w:val="clear" w:color="auto" w:fill="EFF9FF"/>
            <w:noWrap/>
            <w:vAlign w:val="center"/>
          </w:tcPr>
          <w:p w14:paraId="0FF220DF" w14:textId="77777777" w:rsidR="00C57D72"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Software Verification and Validation / Functional Safety / Cybersecurity</w:t>
            </w:r>
            <w:r>
              <w:rPr>
                <w:rFonts w:eastAsia="Times New Roman"/>
                <w:b/>
                <w:bCs/>
                <w:color w:val="000000"/>
                <w:lang w:val="en-GB" w:eastAsia="de-DE"/>
              </w:rPr>
              <w:t xml:space="preserve"> </w:t>
            </w:r>
          </w:p>
          <w:p w14:paraId="079CFADA" w14:textId="17645D11" w:rsidR="00C57D72" w:rsidRPr="00BB11A8" w:rsidRDefault="00C57D72" w:rsidP="00161865">
            <w:pPr>
              <w:adjustRightInd/>
              <w:spacing w:after="0" w:line="240" w:lineRule="auto"/>
              <w:ind w:right="0"/>
              <w:rPr>
                <w:rFonts w:eastAsia="Times New Roman"/>
                <w:color w:val="000000"/>
                <w:lang w:val="en-GB" w:eastAsia="de-DE"/>
              </w:rPr>
            </w:pPr>
            <w:r w:rsidRPr="00BB11A8">
              <w:rPr>
                <w:rFonts w:eastAsia="Times New Roman"/>
                <w:color w:val="000000"/>
                <w:lang w:val="en-GB" w:eastAsia="de-DE"/>
              </w:rPr>
              <w:t>(R</w:t>
            </w:r>
            <w:r w:rsidR="00877C92">
              <w:rPr>
                <w:rFonts w:eastAsia="Times New Roman"/>
                <w:color w:val="000000"/>
                <w:lang w:val="en-GB" w:eastAsia="de-DE"/>
              </w:rPr>
              <w:t>egulation</w:t>
            </w:r>
            <w:r w:rsidRPr="00BB11A8">
              <w:rPr>
                <w:rFonts w:eastAsia="Times New Roman"/>
                <w:color w:val="000000"/>
                <w:lang w:val="en-GB" w:eastAsia="de-DE"/>
              </w:rPr>
              <w:t xml:space="preserve"> (EU) 2017/746 (IVDR), Annex II Section 6.4)</w:t>
            </w:r>
          </w:p>
        </w:tc>
        <w:tc>
          <w:tcPr>
            <w:tcW w:w="1014" w:type="dxa"/>
            <w:shd w:val="clear" w:color="auto" w:fill="EFF9FF"/>
            <w:noWrap/>
            <w:vAlign w:val="center"/>
          </w:tcPr>
          <w:p w14:paraId="2C5035B1"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1C289F7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3FBD1203"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5D7B7698" w14:textId="32B408A9"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28E78AB4" w14:textId="77777777" w:rsidTr="00161865">
        <w:trPr>
          <w:trHeight w:val="561"/>
        </w:trPr>
        <w:tc>
          <w:tcPr>
            <w:tcW w:w="715" w:type="dxa"/>
            <w:shd w:val="clear" w:color="000000" w:fill="FFFFFF"/>
            <w:noWrap/>
            <w:vAlign w:val="center"/>
          </w:tcPr>
          <w:p w14:paraId="3516BC84"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871FDE1" w14:textId="50233C85" w:rsidR="00C57D72" w:rsidRPr="00BB11A8" w:rsidRDefault="00C57D72" w:rsidP="00161865">
            <w:pPr>
              <w:adjustRightInd/>
              <w:spacing w:after="0" w:line="240" w:lineRule="auto"/>
              <w:ind w:right="0"/>
              <w:rPr>
                <w:rFonts w:eastAsia="Times New Roman"/>
                <w:color w:val="000000"/>
                <w:lang w:val="en-GB" w:eastAsia="de-DE"/>
              </w:rPr>
            </w:pPr>
            <w:r w:rsidRPr="00BB11A8">
              <w:rPr>
                <w:rFonts w:eastAsia="Times New Roman"/>
                <w:color w:val="000000"/>
                <w:lang w:val="en-GB" w:eastAsia="de-DE"/>
              </w:rPr>
              <w:t xml:space="preserve">Documents regarding validation of the software (verification, validation and testing performed in-house and in actual user environment. Documentation should demonstrate the product was developed and manufactured according to </w:t>
            </w:r>
          </w:p>
          <w:p w14:paraId="444AD0CC" w14:textId="72D59D98" w:rsidR="00C57D72" w:rsidRPr="00BB11A8" w:rsidRDefault="00C57D72" w:rsidP="00161865">
            <w:pPr>
              <w:adjustRightInd/>
              <w:spacing w:after="0" w:line="240" w:lineRule="auto"/>
              <w:ind w:right="0"/>
              <w:rPr>
                <w:rFonts w:eastAsia="Times New Roman"/>
                <w:color w:val="000000"/>
                <w:lang w:val="en-GB" w:eastAsia="de-DE"/>
              </w:rPr>
            </w:pPr>
            <w:r w:rsidRPr="00BB11A8">
              <w:rPr>
                <w:rFonts w:eastAsia="Times New Roman"/>
                <w:color w:val="000000"/>
                <w:lang w:val="en-GB" w:eastAsia="de-DE"/>
              </w:rPr>
              <w:t>state-of-the-art taking into account the principles of development life cycle, risk management, information security, verification and validation.</w:t>
            </w:r>
          </w:p>
        </w:tc>
        <w:tc>
          <w:tcPr>
            <w:tcW w:w="1014" w:type="dxa"/>
            <w:shd w:val="clear" w:color="000000" w:fill="FFFFFF"/>
            <w:noWrap/>
            <w:vAlign w:val="center"/>
          </w:tcPr>
          <w:p w14:paraId="0538E87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33B0C9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7E7BBAE"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3B5E3A18" w14:textId="5368D607"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03E5350A" w14:textId="77777777" w:rsidTr="00161865">
        <w:trPr>
          <w:trHeight w:val="561"/>
        </w:trPr>
        <w:tc>
          <w:tcPr>
            <w:tcW w:w="715" w:type="dxa"/>
            <w:shd w:val="clear" w:color="auto" w:fill="EFF9FF"/>
            <w:noWrap/>
            <w:vAlign w:val="center"/>
          </w:tcPr>
          <w:p w14:paraId="0513B6E1" w14:textId="7E184EC8"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p>
        </w:tc>
        <w:tc>
          <w:tcPr>
            <w:tcW w:w="4955" w:type="dxa"/>
            <w:shd w:val="clear" w:color="auto" w:fill="EFF9FF"/>
            <w:noWrap/>
            <w:vAlign w:val="center"/>
          </w:tcPr>
          <w:p w14:paraId="40FA15CF" w14:textId="77777777" w:rsidR="00BC7A1F"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C</w:t>
            </w:r>
            <w:r w:rsidR="00877C92">
              <w:rPr>
                <w:rFonts w:eastAsia="Times New Roman"/>
                <w:b/>
                <w:bCs/>
                <w:color w:val="000000"/>
                <w:lang w:val="en-GB" w:eastAsia="de-DE"/>
              </w:rPr>
              <w:t>hemical, Physical and Biological Pro</w:t>
            </w:r>
            <w:r w:rsidR="00BC7A1F">
              <w:rPr>
                <w:rFonts w:eastAsia="Times New Roman"/>
                <w:b/>
                <w:bCs/>
                <w:color w:val="000000"/>
                <w:lang w:val="en-GB" w:eastAsia="de-DE"/>
              </w:rPr>
              <w:t>perties</w:t>
            </w:r>
          </w:p>
          <w:p w14:paraId="605B91D4" w14:textId="26FFAD14" w:rsidR="00C57D72" w:rsidRPr="00BB11A8" w:rsidRDefault="00C57D72" w:rsidP="00161865">
            <w:pPr>
              <w:adjustRightInd/>
              <w:spacing w:after="0" w:line="240" w:lineRule="auto"/>
              <w:ind w:right="0"/>
              <w:rPr>
                <w:rFonts w:eastAsia="Times New Roman"/>
                <w:color w:val="000000"/>
                <w:lang w:val="en-GB" w:eastAsia="de-DE"/>
              </w:rPr>
            </w:pPr>
            <w:r w:rsidRPr="00BB11A8">
              <w:rPr>
                <w:rFonts w:eastAsia="Times New Roman"/>
                <w:color w:val="000000"/>
                <w:lang w:val="en-GB" w:eastAsia="de-DE"/>
              </w:rPr>
              <w:t>(R</w:t>
            </w:r>
            <w:r w:rsidR="00BC7A1F">
              <w:rPr>
                <w:rFonts w:eastAsia="Times New Roman"/>
                <w:color w:val="000000"/>
                <w:lang w:val="en-GB" w:eastAsia="de-DE"/>
              </w:rPr>
              <w:t>egulation (E</w:t>
            </w:r>
            <w:r w:rsidRPr="00BB11A8">
              <w:rPr>
                <w:rFonts w:eastAsia="Times New Roman"/>
                <w:color w:val="000000"/>
                <w:lang w:val="en-GB" w:eastAsia="de-DE"/>
              </w:rPr>
              <w:t>U) 2017/746 (IVDR), Annex II Section 6.5)</w:t>
            </w:r>
          </w:p>
        </w:tc>
        <w:tc>
          <w:tcPr>
            <w:tcW w:w="1014" w:type="dxa"/>
            <w:shd w:val="clear" w:color="auto" w:fill="EFF9FF"/>
            <w:noWrap/>
            <w:vAlign w:val="center"/>
          </w:tcPr>
          <w:p w14:paraId="33F665C8"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0EAB757D"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05B99BE5"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62C6E8FE" w14:textId="10180D0E"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4B1C8BEA" w14:textId="77777777" w:rsidTr="00161865">
        <w:trPr>
          <w:trHeight w:val="561"/>
        </w:trPr>
        <w:tc>
          <w:tcPr>
            <w:tcW w:w="715" w:type="dxa"/>
            <w:shd w:val="clear" w:color="000000" w:fill="FFFFFF"/>
            <w:noWrap/>
            <w:vAlign w:val="center"/>
          </w:tcPr>
          <w:p w14:paraId="2B26C31A" w14:textId="00AF4F61"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.1</w:t>
            </w:r>
          </w:p>
        </w:tc>
        <w:tc>
          <w:tcPr>
            <w:tcW w:w="4955" w:type="dxa"/>
            <w:shd w:val="clear" w:color="000000" w:fill="FFFFFF"/>
            <w:noWrap/>
            <w:vAlign w:val="center"/>
          </w:tcPr>
          <w:p w14:paraId="091794CA" w14:textId="3A42A89E" w:rsidR="00C57D72" w:rsidRPr="00BB11A8"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Nanoparticle Technology</w:t>
            </w:r>
          </w:p>
        </w:tc>
        <w:tc>
          <w:tcPr>
            <w:tcW w:w="1014" w:type="dxa"/>
            <w:shd w:val="clear" w:color="000000" w:fill="FFFFFF"/>
            <w:noWrap/>
            <w:vAlign w:val="center"/>
          </w:tcPr>
          <w:p w14:paraId="68B3C2C7"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3442B60"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080FE5B"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940EEF8" w14:textId="3C9E5072"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1CAF2757" w14:textId="77777777" w:rsidTr="00161865">
        <w:trPr>
          <w:trHeight w:val="561"/>
        </w:trPr>
        <w:tc>
          <w:tcPr>
            <w:tcW w:w="715" w:type="dxa"/>
            <w:shd w:val="clear" w:color="000000" w:fill="FFFFFF"/>
            <w:noWrap/>
            <w:vAlign w:val="center"/>
          </w:tcPr>
          <w:p w14:paraId="76976D81"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A50E3E1" w14:textId="39202DD8" w:rsidR="00C57D72" w:rsidRPr="00BB11A8" w:rsidRDefault="00C57D72" w:rsidP="00161865">
            <w:pPr>
              <w:adjustRightInd/>
              <w:spacing w:after="0" w:line="240" w:lineRule="auto"/>
              <w:ind w:right="0"/>
              <w:rPr>
                <w:rFonts w:eastAsia="Times New Roman"/>
                <w:b/>
                <w:bCs/>
                <w:color w:val="000000"/>
                <w:lang w:val="en-GB" w:eastAsia="de-DE"/>
              </w:rPr>
            </w:pPr>
            <w:r w:rsidRPr="00BB11A8">
              <w:rPr>
                <w:rFonts w:eastAsia="Times New Roman"/>
                <w:bCs/>
                <w:color w:val="000000"/>
                <w:lang w:val="en-GB" w:eastAsia="de-DE"/>
              </w:rPr>
              <w:t>The documentation should demonstrate that the nanoparticles were designed and manufactured in such a way as to reduce as far as possible risks linked to the size and the properties of particles used.</w:t>
            </w:r>
          </w:p>
        </w:tc>
        <w:tc>
          <w:tcPr>
            <w:tcW w:w="1014" w:type="dxa"/>
            <w:shd w:val="clear" w:color="000000" w:fill="FFFFFF"/>
            <w:noWrap/>
            <w:vAlign w:val="center"/>
          </w:tcPr>
          <w:p w14:paraId="7C42E58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D6BA3F7"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2C1FD39"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157DF866" w14:textId="0FAAB3D7"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660A19AF" w14:textId="77777777" w:rsidTr="00161865">
        <w:trPr>
          <w:trHeight w:val="561"/>
        </w:trPr>
        <w:tc>
          <w:tcPr>
            <w:tcW w:w="715" w:type="dxa"/>
            <w:shd w:val="clear" w:color="000000" w:fill="FFFFFF"/>
            <w:noWrap/>
            <w:vAlign w:val="center"/>
          </w:tcPr>
          <w:p w14:paraId="79F3F365" w14:textId="64D38956"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.2</w:t>
            </w:r>
          </w:p>
        </w:tc>
        <w:tc>
          <w:tcPr>
            <w:tcW w:w="4955" w:type="dxa"/>
            <w:shd w:val="clear" w:color="000000" w:fill="FFFFFF"/>
            <w:noWrap/>
            <w:vAlign w:val="center"/>
          </w:tcPr>
          <w:p w14:paraId="1ECD6F24" w14:textId="12931FF4" w:rsidR="00C57D72" w:rsidRPr="00BB11A8"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Hazardous Substances</w:t>
            </w:r>
          </w:p>
        </w:tc>
        <w:tc>
          <w:tcPr>
            <w:tcW w:w="1014" w:type="dxa"/>
            <w:shd w:val="clear" w:color="000000" w:fill="FFFFFF"/>
            <w:noWrap/>
            <w:vAlign w:val="center"/>
          </w:tcPr>
          <w:p w14:paraId="4A2D7EE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E6996E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16DC156"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3CE8D28" w14:textId="071C3D71"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0F43754D" w14:textId="77777777" w:rsidTr="00161865">
        <w:trPr>
          <w:trHeight w:val="561"/>
        </w:trPr>
        <w:tc>
          <w:tcPr>
            <w:tcW w:w="715" w:type="dxa"/>
            <w:shd w:val="clear" w:color="000000" w:fill="FFFFFF"/>
            <w:noWrap/>
            <w:vAlign w:val="center"/>
          </w:tcPr>
          <w:p w14:paraId="69463BAA"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466BE5AA" w14:textId="43AEB5BF" w:rsidR="00C57D72" w:rsidRPr="00BB11A8" w:rsidRDefault="00C57D72" w:rsidP="00161865">
            <w:pPr>
              <w:adjustRightInd/>
              <w:spacing w:after="0" w:line="240" w:lineRule="auto"/>
              <w:ind w:right="0"/>
              <w:rPr>
                <w:rFonts w:eastAsia="Times New Roman"/>
                <w:bCs/>
                <w:color w:val="000000"/>
                <w:lang w:val="en-GB" w:eastAsia="de-DE"/>
              </w:rPr>
            </w:pPr>
            <w:r w:rsidRPr="00BB11A8">
              <w:rPr>
                <w:rFonts w:eastAsia="Times New Roman"/>
                <w:bCs/>
                <w:color w:val="000000"/>
                <w:lang w:val="en-GB" w:eastAsia="de-DE"/>
              </w:rPr>
              <w:t>A documentation of all hazardous substances that are incorporated in the device, and how they are controlled and labelled. Any risks should be addressed in risk management.</w:t>
            </w:r>
          </w:p>
        </w:tc>
        <w:tc>
          <w:tcPr>
            <w:tcW w:w="1014" w:type="dxa"/>
            <w:shd w:val="clear" w:color="000000" w:fill="FFFFFF"/>
            <w:noWrap/>
            <w:vAlign w:val="center"/>
          </w:tcPr>
          <w:p w14:paraId="34567CB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4FBE0D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B9CC3BD"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DED2F7B" w14:textId="4A9EDD4E" w:rsidR="00C57D72" w:rsidRPr="004C3A94" w:rsidRDefault="00C57D72" w:rsidP="00161865">
            <w:pPr>
              <w:adjustRightInd/>
              <w:spacing w:after="0" w:line="240" w:lineRule="auto"/>
              <w:ind w:right="0"/>
              <w:rPr>
                <w:rFonts w:eastAsia="Times New Roman" w:cs="Calibri"/>
                <w:color w:val="000000"/>
                <w:lang w:val="en-GB" w:eastAsia="de-DE"/>
              </w:rPr>
            </w:pPr>
          </w:p>
        </w:tc>
      </w:tr>
      <w:tr w:rsidR="00877C92" w:rsidRPr="00AF7A73" w14:paraId="0DFA9F98" w14:textId="77777777" w:rsidTr="00161865">
        <w:trPr>
          <w:trHeight w:val="561"/>
        </w:trPr>
        <w:tc>
          <w:tcPr>
            <w:tcW w:w="715" w:type="dxa"/>
            <w:shd w:val="clear" w:color="000000" w:fill="FFFFFF"/>
            <w:noWrap/>
            <w:vAlign w:val="center"/>
          </w:tcPr>
          <w:p w14:paraId="32604855" w14:textId="594FA4FF" w:rsidR="00877C92" w:rsidRPr="00A0478D" w:rsidRDefault="00877C92"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6.7.3</w:t>
            </w:r>
          </w:p>
        </w:tc>
        <w:tc>
          <w:tcPr>
            <w:tcW w:w="4955" w:type="dxa"/>
            <w:shd w:val="clear" w:color="000000" w:fill="FFFFFF"/>
            <w:noWrap/>
            <w:vAlign w:val="center"/>
          </w:tcPr>
          <w:p w14:paraId="32C3B14C" w14:textId="1A2E4DB5" w:rsidR="00877C92" w:rsidRPr="00BB11A8" w:rsidRDefault="00877C92" w:rsidP="00161865">
            <w:pPr>
              <w:adjustRightInd/>
              <w:spacing w:after="0" w:line="240" w:lineRule="auto"/>
              <w:ind w:right="0"/>
              <w:rPr>
                <w:rFonts w:eastAsia="Times New Roman"/>
                <w:b/>
                <w:bCs/>
                <w:color w:val="000000"/>
                <w:lang w:val="en-GB" w:eastAsia="de-DE"/>
              </w:rPr>
            </w:pPr>
            <w:r>
              <w:rPr>
                <w:rFonts w:eastAsia="Times New Roman"/>
                <w:b/>
                <w:bCs/>
                <w:color w:val="000000"/>
                <w:lang w:val="en-GB" w:eastAsia="de-DE"/>
              </w:rPr>
              <w:t>Biological Evaluation</w:t>
            </w:r>
          </w:p>
        </w:tc>
        <w:tc>
          <w:tcPr>
            <w:tcW w:w="1014" w:type="dxa"/>
            <w:shd w:val="clear" w:color="000000" w:fill="FFFFFF"/>
            <w:noWrap/>
            <w:vAlign w:val="center"/>
          </w:tcPr>
          <w:p w14:paraId="187585B1" w14:textId="77777777" w:rsidR="00877C92" w:rsidRPr="004C3A94" w:rsidRDefault="00877C9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F96A7A9" w14:textId="77777777" w:rsidR="00877C92" w:rsidRPr="004C3A94" w:rsidRDefault="00877C9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1AAE41D" w14:textId="77777777" w:rsidR="00877C92" w:rsidRPr="004C3A94" w:rsidRDefault="00877C9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13FDE303" w14:textId="77777777" w:rsidR="00877C92" w:rsidRPr="004C3A94" w:rsidRDefault="00877C92" w:rsidP="00161865">
            <w:pPr>
              <w:adjustRightInd/>
              <w:spacing w:after="0" w:line="240" w:lineRule="auto"/>
              <w:ind w:right="0"/>
              <w:rPr>
                <w:rFonts w:eastAsia="Times New Roman" w:cs="Calibri"/>
                <w:color w:val="000000"/>
                <w:lang w:val="en-GB" w:eastAsia="de-DE"/>
              </w:rPr>
            </w:pPr>
          </w:p>
        </w:tc>
      </w:tr>
      <w:tr w:rsidR="00877C92" w:rsidRPr="004B5366" w14:paraId="6900DB47" w14:textId="77777777" w:rsidTr="00161865">
        <w:trPr>
          <w:trHeight w:val="561"/>
        </w:trPr>
        <w:tc>
          <w:tcPr>
            <w:tcW w:w="715" w:type="dxa"/>
            <w:shd w:val="clear" w:color="000000" w:fill="FFFFFF"/>
            <w:noWrap/>
            <w:vAlign w:val="center"/>
          </w:tcPr>
          <w:p w14:paraId="7F19C781" w14:textId="77777777" w:rsidR="00877C92" w:rsidRPr="00A0478D" w:rsidRDefault="00877C9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1B0798BA" w14:textId="23BFF151" w:rsidR="00877C92" w:rsidRPr="00877C92" w:rsidRDefault="00877C92" w:rsidP="00161865">
            <w:pPr>
              <w:adjustRightInd/>
              <w:spacing w:after="0" w:line="240" w:lineRule="auto"/>
              <w:ind w:right="0"/>
              <w:rPr>
                <w:rFonts w:eastAsia="Times New Roman"/>
                <w:bCs/>
                <w:color w:val="000000"/>
                <w:lang w:val="en-GB" w:eastAsia="de-DE"/>
              </w:rPr>
            </w:pPr>
            <w:r w:rsidRPr="00877C92">
              <w:rPr>
                <w:rFonts w:eastAsia="Times New Roman"/>
                <w:bCs/>
                <w:color w:val="000000"/>
                <w:lang w:val="en-GB" w:eastAsia="de-DE"/>
              </w:rPr>
              <w:t>Assessment of whether there are risks from contaminants and residues of the device or its materials to users, patients or third parties. Where applicable, these substances shall be described and, where appropriate, tests shall be carried out which are adequate in relation to the tissues exposed to these contaminants and residues and the duration and frequency of exposure.</w:t>
            </w:r>
          </w:p>
        </w:tc>
        <w:tc>
          <w:tcPr>
            <w:tcW w:w="1014" w:type="dxa"/>
            <w:shd w:val="clear" w:color="000000" w:fill="FFFFFF"/>
            <w:noWrap/>
            <w:vAlign w:val="center"/>
          </w:tcPr>
          <w:p w14:paraId="0D7ACA9A" w14:textId="77777777" w:rsidR="00877C92" w:rsidRPr="004C3A94" w:rsidRDefault="00877C9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3ABB1DCF" w14:textId="77777777" w:rsidR="00877C92" w:rsidRPr="004C3A94" w:rsidRDefault="00877C9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377359F4" w14:textId="77777777" w:rsidR="00877C92" w:rsidRPr="004C3A94" w:rsidRDefault="00877C9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F4EB19E" w14:textId="77777777" w:rsidR="00877C92" w:rsidRPr="004C3A94" w:rsidRDefault="00877C92" w:rsidP="00161865">
            <w:pPr>
              <w:adjustRightInd/>
              <w:spacing w:after="0" w:line="240" w:lineRule="auto"/>
              <w:ind w:right="0"/>
              <w:rPr>
                <w:rFonts w:eastAsia="Times New Roman" w:cs="Calibri"/>
                <w:color w:val="000000"/>
                <w:lang w:val="en-GB" w:eastAsia="de-DE"/>
              </w:rPr>
            </w:pPr>
          </w:p>
        </w:tc>
      </w:tr>
      <w:tr w:rsidR="00C57D72" w:rsidRPr="004B5366" w14:paraId="5D4976A6" w14:textId="77777777" w:rsidTr="00161865">
        <w:trPr>
          <w:trHeight w:val="561"/>
        </w:trPr>
        <w:tc>
          <w:tcPr>
            <w:tcW w:w="715" w:type="dxa"/>
            <w:shd w:val="clear" w:color="000000" w:fill="FFFFFF"/>
            <w:noWrap/>
            <w:vAlign w:val="center"/>
          </w:tcPr>
          <w:p w14:paraId="64AA505F" w14:textId="3901E1EF"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4</w:t>
            </w:r>
          </w:p>
        </w:tc>
        <w:tc>
          <w:tcPr>
            <w:tcW w:w="4955" w:type="dxa"/>
            <w:shd w:val="clear" w:color="000000" w:fill="FFFFFF"/>
            <w:noWrap/>
            <w:vAlign w:val="center"/>
          </w:tcPr>
          <w:p w14:paraId="74DA2719" w14:textId="30D4C364" w:rsidR="00C57D72" w:rsidRPr="00BB11A8"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Substances of Animal / Human / Microbiological Origin</w:t>
            </w:r>
          </w:p>
        </w:tc>
        <w:tc>
          <w:tcPr>
            <w:tcW w:w="1014" w:type="dxa"/>
            <w:shd w:val="clear" w:color="000000" w:fill="FFFFFF"/>
            <w:noWrap/>
            <w:vAlign w:val="center"/>
          </w:tcPr>
          <w:p w14:paraId="701AE68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30B0AB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EC85EBB"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9A7969A" w14:textId="580E11A9"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05DDC026" w14:textId="77777777" w:rsidTr="00161865">
        <w:trPr>
          <w:trHeight w:val="561"/>
        </w:trPr>
        <w:tc>
          <w:tcPr>
            <w:tcW w:w="715" w:type="dxa"/>
            <w:shd w:val="clear" w:color="000000" w:fill="FFFFFF"/>
            <w:noWrap/>
            <w:vAlign w:val="center"/>
          </w:tcPr>
          <w:p w14:paraId="51BFB545"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4299FDE5" w14:textId="1901B813" w:rsidR="00C57D72" w:rsidRPr="00BB11A8" w:rsidRDefault="00C57D72" w:rsidP="00161865">
            <w:pPr>
              <w:adjustRightInd/>
              <w:spacing w:after="0" w:line="240" w:lineRule="auto"/>
              <w:ind w:right="0"/>
              <w:rPr>
                <w:rFonts w:eastAsia="Times New Roman"/>
                <w:bCs/>
                <w:color w:val="000000"/>
                <w:lang w:val="en-GB" w:eastAsia="de-DE"/>
              </w:rPr>
            </w:pPr>
            <w:r w:rsidRPr="00BB11A8">
              <w:rPr>
                <w:rFonts w:eastAsia="Times New Roman"/>
                <w:bCs/>
                <w:color w:val="000000"/>
                <w:lang w:val="en-GB" w:eastAsia="de-DE"/>
              </w:rPr>
              <w:t>A documentation of all substance of Animal / Human / Microbiological Origin. What component is affected; what control measures are performed. A validation should be available, if applicable. Any risks should be addressed in risk management.</w:t>
            </w:r>
          </w:p>
        </w:tc>
        <w:tc>
          <w:tcPr>
            <w:tcW w:w="1014" w:type="dxa"/>
            <w:shd w:val="clear" w:color="000000" w:fill="FFFFFF"/>
            <w:noWrap/>
            <w:vAlign w:val="center"/>
          </w:tcPr>
          <w:p w14:paraId="28AE0E4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3865F28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306836C"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3A165593" w14:textId="57E6F9B5"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134F92CD" w14:textId="77777777" w:rsidTr="00161865">
        <w:trPr>
          <w:trHeight w:val="561"/>
        </w:trPr>
        <w:tc>
          <w:tcPr>
            <w:tcW w:w="715" w:type="dxa"/>
            <w:shd w:val="clear" w:color="000000" w:fill="FFFFFF"/>
            <w:noWrap/>
            <w:vAlign w:val="center"/>
          </w:tcPr>
          <w:p w14:paraId="483E5BFA" w14:textId="3A58EE6A"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5</w:t>
            </w:r>
          </w:p>
        </w:tc>
        <w:tc>
          <w:tcPr>
            <w:tcW w:w="4955" w:type="dxa"/>
            <w:shd w:val="clear" w:color="000000" w:fill="FFFFFF"/>
            <w:noWrap/>
            <w:vAlign w:val="center"/>
          </w:tcPr>
          <w:p w14:paraId="1B5B54B9" w14:textId="7E445746" w:rsidR="00C57D72" w:rsidRPr="00BB11A8"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Sterile Devices or Devices with Defined Microbiological Condition</w:t>
            </w:r>
          </w:p>
        </w:tc>
        <w:tc>
          <w:tcPr>
            <w:tcW w:w="1014" w:type="dxa"/>
            <w:shd w:val="clear" w:color="000000" w:fill="FFFFFF"/>
            <w:noWrap/>
            <w:vAlign w:val="center"/>
          </w:tcPr>
          <w:p w14:paraId="19CDFAF3"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E210988"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016697D3"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477644D" w14:textId="3BECAAF0"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29232343" w14:textId="77777777" w:rsidTr="00161865">
        <w:trPr>
          <w:trHeight w:val="561"/>
        </w:trPr>
        <w:tc>
          <w:tcPr>
            <w:tcW w:w="715" w:type="dxa"/>
            <w:shd w:val="clear" w:color="000000" w:fill="FFFFFF"/>
            <w:noWrap/>
            <w:vAlign w:val="center"/>
          </w:tcPr>
          <w:p w14:paraId="14467F76"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0D86AC1E" w14:textId="02225EB2" w:rsidR="00C57D72" w:rsidRDefault="00C57D72" w:rsidP="00161865">
            <w:pPr>
              <w:adjustRightInd/>
              <w:spacing w:after="0" w:line="240" w:lineRule="auto"/>
              <w:ind w:right="0"/>
              <w:rPr>
                <w:rFonts w:eastAsia="Times New Roman"/>
                <w:bCs/>
                <w:color w:val="000000"/>
                <w:lang w:val="en-GB" w:eastAsia="de-DE"/>
              </w:rPr>
            </w:pPr>
            <w:r w:rsidRPr="00BB11A8">
              <w:rPr>
                <w:rFonts w:eastAsia="Times New Roman"/>
                <w:bCs/>
                <w:color w:val="000000"/>
                <w:lang w:val="en-GB" w:eastAsia="de-DE"/>
              </w:rPr>
              <w:t>In the case of devices placed on the market in a sterile or defined microbiological condition, a description of the environmental conditions for the relevant manufacturing steps.</w:t>
            </w:r>
          </w:p>
          <w:p w14:paraId="7B977534" w14:textId="77777777" w:rsidR="00C57D72" w:rsidRPr="00BB11A8" w:rsidRDefault="00C57D72" w:rsidP="00161865">
            <w:pPr>
              <w:adjustRightInd/>
              <w:spacing w:after="0" w:line="240" w:lineRule="auto"/>
              <w:ind w:right="0"/>
              <w:rPr>
                <w:rFonts w:eastAsia="Times New Roman"/>
                <w:bCs/>
                <w:color w:val="000000"/>
                <w:lang w:val="en-GB" w:eastAsia="de-DE"/>
              </w:rPr>
            </w:pPr>
          </w:p>
          <w:p w14:paraId="6F9498D2" w14:textId="778D487A" w:rsidR="00C57D72" w:rsidRPr="00BB11A8" w:rsidRDefault="00C57D72" w:rsidP="00161865">
            <w:pPr>
              <w:adjustRightInd/>
              <w:spacing w:after="0" w:line="240" w:lineRule="auto"/>
              <w:ind w:right="0"/>
              <w:rPr>
                <w:rFonts w:eastAsia="Times New Roman"/>
                <w:bCs/>
                <w:color w:val="000000"/>
                <w:lang w:val="en-GB" w:eastAsia="de-DE"/>
              </w:rPr>
            </w:pPr>
            <w:r w:rsidRPr="00BB11A8">
              <w:rPr>
                <w:rFonts w:eastAsia="Times New Roman"/>
                <w:bCs/>
                <w:color w:val="000000"/>
                <w:lang w:val="en-GB" w:eastAsia="de-DE"/>
              </w:rPr>
              <w:lastRenderedPageBreak/>
              <w:t>In the case of devices placed on the market in a sterile condition, a description of the methods used, including the validation reports, with respect to packaging, sterilisation and maintenance of sterility. The validation report shall address bioburden testing, and, if applicable, testing for sterilant residues.</w:t>
            </w:r>
          </w:p>
        </w:tc>
        <w:tc>
          <w:tcPr>
            <w:tcW w:w="1014" w:type="dxa"/>
            <w:shd w:val="clear" w:color="000000" w:fill="FFFFFF"/>
            <w:noWrap/>
            <w:vAlign w:val="center"/>
          </w:tcPr>
          <w:p w14:paraId="32B7B10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C0EC2B0"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0BDA160"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D4FCAC7" w14:textId="57DB3CF0"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30EC0105" w14:textId="77777777" w:rsidTr="00161865">
        <w:trPr>
          <w:trHeight w:val="561"/>
        </w:trPr>
        <w:tc>
          <w:tcPr>
            <w:tcW w:w="715" w:type="dxa"/>
            <w:shd w:val="clear" w:color="000000" w:fill="FFFFFF"/>
            <w:noWrap/>
            <w:vAlign w:val="center"/>
          </w:tcPr>
          <w:p w14:paraId="78A6F807" w14:textId="3E1E7E7E"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6</w:t>
            </w:r>
          </w:p>
        </w:tc>
        <w:tc>
          <w:tcPr>
            <w:tcW w:w="4955" w:type="dxa"/>
            <w:shd w:val="clear" w:color="000000" w:fill="FFFFFF"/>
            <w:noWrap/>
            <w:vAlign w:val="center"/>
          </w:tcPr>
          <w:p w14:paraId="388610AA" w14:textId="61FBB5A3" w:rsidR="00C57D72" w:rsidRPr="00BB11A8"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Constructional Safety</w:t>
            </w:r>
          </w:p>
        </w:tc>
        <w:tc>
          <w:tcPr>
            <w:tcW w:w="1014" w:type="dxa"/>
            <w:shd w:val="clear" w:color="000000" w:fill="FFFFFF"/>
            <w:noWrap/>
            <w:vAlign w:val="center"/>
          </w:tcPr>
          <w:p w14:paraId="0A3A27CC"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4156F0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087CC3E"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5509EE0" w14:textId="55E4AB2D"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0A76C588" w14:textId="77777777" w:rsidTr="00161865">
        <w:trPr>
          <w:trHeight w:val="561"/>
        </w:trPr>
        <w:tc>
          <w:tcPr>
            <w:tcW w:w="715" w:type="dxa"/>
            <w:shd w:val="clear" w:color="000000" w:fill="FFFFFF"/>
            <w:noWrap/>
            <w:vAlign w:val="center"/>
          </w:tcPr>
          <w:p w14:paraId="15F3250F" w14:textId="760E050C"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6</w:t>
            </w:r>
            <w:r w:rsidRPr="00A0478D">
              <w:rPr>
                <w:rFonts w:eastAsia="Times New Roman" w:cs="Calibri"/>
                <w:b/>
                <w:bCs/>
                <w:color w:val="000000"/>
                <w:lang w:val="en-GB" w:eastAsia="de-DE"/>
              </w:rPr>
              <w:t>.1</w:t>
            </w:r>
          </w:p>
        </w:tc>
        <w:tc>
          <w:tcPr>
            <w:tcW w:w="4955" w:type="dxa"/>
            <w:shd w:val="clear" w:color="000000" w:fill="FFFFFF"/>
            <w:noWrap/>
            <w:vAlign w:val="center"/>
          </w:tcPr>
          <w:p w14:paraId="2BE17BC1" w14:textId="5BAAE773" w:rsidR="00C57D72" w:rsidRPr="00BB11A8"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Mechanical Safety</w:t>
            </w:r>
          </w:p>
        </w:tc>
        <w:tc>
          <w:tcPr>
            <w:tcW w:w="1014" w:type="dxa"/>
            <w:shd w:val="clear" w:color="000000" w:fill="FFFFFF"/>
            <w:noWrap/>
            <w:vAlign w:val="center"/>
          </w:tcPr>
          <w:p w14:paraId="045563A6"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ADC842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ABC0CD6"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8C7F7B5" w14:textId="34B339C5"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0AABD665" w14:textId="77777777" w:rsidTr="00161865">
        <w:trPr>
          <w:trHeight w:val="561"/>
        </w:trPr>
        <w:tc>
          <w:tcPr>
            <w:tcW w:w="715" w:type="dxa"/>
            <w:shd w:val="clear" w:color="000000" w:fill="FFFFFF"/>
            <w:noWrap/>
            <w:vAlign w:val="center"/>
          </w:tcPr>
          <w:p w14:paraId="3F6FCDFF"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3F3E8E92" w14:textId="0C2D2260" w:rsidR="00C57D72" w:rsidRPr="00BB11A8" w:rsidRDefault="00C57D72" w:rsidP="00161865">
            <w:pPr>
              <w:adjustRightInd/>
              <w:spacing w:after="0" w:line="240" w:lineRule="auto"/>
              <w:ind w:right="0"/>
              <w:rPr>
                <w:rFonts w:eastAsia="Times New Roman"/>
                <w:bCs/>
                <w:color w:val="000000"/>
                <w:lang w:val="en-GB" w:eastAsia="de-DE"/>
              </w:rPr>
            </w:pPr>
            <w:r w:rsidRPr="00BB11A8">
              <w:rPr>
                <w:rFonts w:eastAsia="Times New Roman"/>
                <w:bCs/>
                <w:color w:val="000000"/>
                <w:lang w:val="en-GB" w:eastAsia="de-DE"/>
              </w:rPr>
              <w:t>A documentation that demonstrates that all relevant harmonised (if applicable) or state-of-the-art standards and IVDR provisions were followed, including minimisation of all identified risks</w:t>
            </w:r>
            <w:r>
              <w:rPr>
                <w:rFonts w:eastAsia="Times New Roman"/>
                <w:bCs/>
                <w:color w:val="000000"/>
                <w:lang w:val="en-GB" w:eastAsia="de-DE"/>
              </w:rPr>
              <w:t>.</w:t>
            </w:r>
          </w:p>
        </w:tc>
        <w:tc>
          <w:tcPr>
            <w:tcW w:w="1014" w:type="dxa"/>
            <w:shd w:val="clear" w:color="000000" w:fill="FFFFFF"/>
            <w:noWrap/>
            <w:vAlign w:val="center"/>
          </w:tcPr>
          <w:p w14:paraId="5DF0563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827B03A"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E619393"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5A088C5" w14:textId="7B455883"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075D3DD8" w14:textId="77777777" w:rsidTr="00161865">
        <w:trPr>
          <w:trHeight w:val="561"/>
        </w:trPr>
        <w:tc>
          <w:tcPr>
            <w:tcW w:w="715" w:type="dxa"/>
            <w:shd w:val="clear" w:color="000000" w:fill="FFFFFF"/>
            <w:noWrap/>
            <w:vAlign w:val="center"/>
          </w:tcPr>
          <w:p w14:paraId="5B6EDA63" w14:textId="67804EDA"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6</w:t>
            </w:r>
            <w:r w:rsidRPr="00A0478D">
              <w:rPr>
                <w:rFonts w:eastAsia="Times New Roman" w:cs="Calibri"/>
                <w:b/>
                <w:bCs/>
                <w:color w:val="000000"/>
                <w:lang w:val="en-GB" w:eastAsia="de-DE"/>
              </w:rPr>
              <w:t>.2</w:t>
            </w:r>
          </w:p>
        </w:tc>
        <w:tc>
          <w:tcPr>
            <w:tcW w:w="4955" w:type="dxa"/>
            <w:shd w:val="clear" w:color="000000" w:fill="FFFFFF"/>
            <w:noWrap/>
            <w:vAlign w:val="center"/>
          </w:tcPr>
          <w:p w14:paraId="46BCF822" w14:textId="06D8471A" w:rsidR="00C57D72" w:rsidRPr="00BB11A8" w:rsidRDefault="00C57D72" w:rsidP="00161865">
            <w:pPr>
              <w:adjustRightInd/>
              <w:spacing w:after="0" w:line="240" w:lineRule="auto"/>
              <w:ind w:right="0"/>
              <w:rPr>
                <w:rFonts w:eastAsia="Times New Roman"/>
                <w:b/>
                <w:bCs/>
                <w:color w:val="000000"/>
                <w:lang w:val="en-GB" w:eastAsia="de-DE"/>
              </w:rPr>
            </w:pPr>
            <w:r w:rsidRPr="00BB11A8">
              <w:rPr>
                <w:rFonts w:eastAsia="Times New Roman"/>
                <w:b/>
                <w:bCs/>
                <w:color w:val="000000"/>
                <w:lang w:val="en-GB" w:eastAsia="de-DE"/>
              </w:rPr>
              <w:t>Electrical safety / electromagnetic compatibility</w:t>
            </w:r>
          </w:p>
        </w:tc>
        <w:tc>
          <w:tcPr>
            <w:tcW w:w="1014" w:type="dxa"/>
            <w:shd w:val="clear" w:color="000000" w:fill="FFFFFF"/>
            <w:noWrap/>
            <w:vAlign w:val="center"/>
          </w:tcPr>
          <w:p w14:paraId="5A8806F8"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F803109"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3A1D756"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3E5F10C" w14:textId="70673D26"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15E96DDA" w14:textId="77777777" w:rsidTr="00161865">
        <w:trPr>
          <w:trHeight w:val="561"/>
        </w:trPr>
        <w:tc>
          <w:tcPr>
            <w:tcW w:w="715" w:type="dxa"/>
            <w:shd w:val="clear" w:color="000000" w:fill="FFFFFF"/>
            <w:noWrap/>
            <w:vAlign w:val="center"/>
          </w:tcPr>
          <w:p w14:paraId="20880E29"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78CA2DC8" w14:textId="77777777" w:rsidR="00C57D72" w:rsidRPr="00BB11A8" w:rsidRDefault="00C57D72" w:rsidP="00161865">
            <w:pPr>
              <w:adjustRightInd/>
              <w:spacing w:after="0" w:line="240" w:lineRule="auto"/>
              <w:ind w:right="0"/>
              <w:rPr>
                <w:rFonts w:eastAsia="Times New Roman"/>
                <w:bCs/>
                <w:color w:val="000000"/>
                <w:lang w:val="en-GB" w:eastAsia="de-DE"/>
              </w:rPr>
            </w:pPr>
            <w:r w:rsidRPr="00BB11A8">
              <w:rPr>
                <w:rFonts w:eastAsia="Times New Roman"/>
                <w:bCs/>
                <w:color w:val="000000"/>
                <w:lang w:val="en-GB" w:eastAsia="de-DE"/>
              </w:rPr>
              <w:t xml:space="preserve">A documentation that demonstrates that all relevant harmonised (if applicable) or state-of-the-art standards and IVDR </w:t>
            </w:r>
          </w:p>
          <w:p w14:paraId="1E9408AC" w14:textId="7F4B439E" w:rsidR="00C57D72" w:rsidRPr="00BB11A8" w:rsidRDefault="00C57D72" w:rsidP="00161865">
            <w:pPr>
              <w:adjustRightInd/>
              <w:spacing w:after="0" w:line="240" w:lineRule="auto"/>
              <w:ind w:right="0"/>
              <w:rPr>
                <w:rFonts w:eastAsia="Times New Roman"/>
                <w:bCs/>
                <w:color w:val="000000"/>
                <w:lang w:val="en-GB" w:eastAsia="de-DE"/>
              </w:rPr>
            </w:pPr>
            <w:r w:rsidRPr="00BB11A8">
              <w:rPr>
                <w:rFonts w:eastAsia="Times New Roman"/>
                <w:bCs/>
                <w:color w:val="000000"/>
                <w:lang w:val="en-GB" w:eastAsia="de-DE"/>
              </w:rPr>
              <w:t>provisions were followed, including minimisation of all identified risks.</w:t>
            </w:r>
          </w:p>
        </w:tc>
        <w:tc>
          <w:tcPr>
            <w:tcW w:w="1014" w:type="dxa"/>
            <w:shd w:val="clear" w:color="000000" w:fill="FFFFFF"/>
            <w:noWrap/>
            <w:vAlign w:val="center"/>
          </w:tcPr>
          <w:p w14:paraId="301D76C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563081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3A3768B"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33A12A0" w14:textId="32CED3E3"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335F4C3A" w14:textId="77777777" w:rsidTr="00161865">
        <w:trPr>
          <w:trHeight w:val="561"/>
        </w:trPr>
        <w:tc>
          <w:tcPr>
            <w:tcW w:w="715" w:type="dxa"/>
            <w:shd w:val="clear" w:color="000000" w:fill="FFFFFF"/>
            <w:noWrap/>
            <w:vAlign w:val="center"/>
          </w:tcPr>
          <w:p w14:paraId="02FD36B3" w14:textId="70B91F9D"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6</w:t>
            </w:r>
            <w:r w:rsidRPr="00A0478D">
              <w:rPr>
                <w:rFonts w:eastAsia="Times New Roman" w:cs="Calibri"/>
                <w:b/>
                <w:bCs/>
                <w:color w:val="000000"/>
                <w:lang w:val="en-GB" w:eastAsia="de-DE"/>
              </w:rPr>
              <w:t>.3</w:t>
            </w:r>
          </w:p>
        </w:tc>
        <w:tc>
          <w:tcPr>
            <w:tcW w:w="4955" w:type="dxa"/>
            <w:shd w:val="clear" w:color="000000" w:fill="FFFFFF"/>
            <w:noWrap/>
            <w:vAlign w:val="center"/>
          </w:tcPr>
          <w:p w14:paraId="47281C56" w14:textId="244789C6" w:rsidR="00C57D72" w:rsidRPr="00FD36CC" w:rsidRDefault="00C57D72" w:rsidP="00161865">
            <w:pPr>
              <w:adjustRightInd/>
              <w:spacing w:after="0" w:line="240" w:lineRule="auto"/>
              <w:ind w:right="0"/>
              <w:rPr>
                <w:rFonts w:eastAsia="Times New Roman"/>
                <w:b/>
                <w:bCs/>
                <w:color w:val="000000"/>
                <w:lang w:val="en-GB" w:eastAsia="de-DE"/>
              </w:rPr>
            </w:pPr>
            <w:r w:rsidRPr="00FD36CC">
              <w:rPr>
                <w:rFonts w:eastAsia="Times New Roman"/>
                <w:b/>
                <w:bCs/>
                <w:color w:val="000000"/>
                <w:lang w:val="en-GB" w:eastAsia="de-DE"/>
              </w:rPr>
              <w:t>Ionising and non-ionising radiation</w:t>
            </w:r>
          </w:p>
        </w:tc>
        <w:tc>
          <w:tcPr>
            <w:tcW w:w="1014" w:type="dxa"/>
            <w:shd w:val="clear" w:color="000000" w:fill="FFFFFF"/>
            <w:noWrap/>
            <w:vAlign w:val="center"/>
          </w:tcPr>
          <w:p w14:paraId="68D3E8A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490741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9A550A8"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4C20C50" w14:textId="71078C7B"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03442ADE" w14:textId="77777777" w:rsidTr="00161865">
        <w:trPr>
          <w:trHeight w:val="561"/>
        </w:trPr>
        <w:tc>
          <w:tcPr>
            <w:tcW w:w="715" w:type="dxa"/>
            <w:shd w:val="clear" w:color="000000" w:fill="FFFFFF"/>
            <w:noWrap/>
            <w:vAlign w:val="center"/>
          </w:tcPr>
          <w:p w14:paraId="10E36504"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7EA6F35C" w14:textId="4E79568C" w:rsidR="00C57D72" w:rsidRPr="00BB11A8" w:rsidRDefault="00C57D72" w:rsidP="00161865">
            <w:pPr>
              <w:adjustRightInd/>
              <w:spacing w:after="0" w:line="240" w:lineRule="auto"/>
              <w:ind w:right="0"/>
              <w:rPr>
                <w:rFonts w:eastAsia="Times New Roman"/>
                <w:bCs/>
                <w:color w:val="000000"/>
                <w:lang w:val="en-GB" w:eastAsia="de-DE"/>
              </w:rPr>
            </w:pPr>
            <w:r w:rsidRPr="00FD36CC">
              <w:rPr>
                <w:rFonts w:eastAsia="Times New Roman"/>
                <w:bCs/>
                <w:color w:val="000000"/>
                <w:lang w:val="en-GB" w:eastAsia="de-DE"/>
              </w:rPr>
              <w:t>A documentation that demonstrates that all relevant harmonised (if applicable) or state-of-the-art standards and IVDR provisions were followed, including minimisation of all identified risks.</w:t>
            </w:r>
          </w:p>
        </w:tc>
        <w:tc>
          <w:tcPr>
            <w:tcW w:w="1014" w:type="dxa"/>
            <w:shd w:val="clear" w:color="000000" w:fill="FFFFFF"/>
            <w:noWrap/>
            <w:vAlign w:val="center"/>
          </w:tcPr>
          <w:p w14:paraId="65D3175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E34503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A70C9B0"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7F6D487" w14:textId="66140E2D"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64E0E217" w14:textId="77777777" w:rsidTr="00161865">
        <w:trPr>
          <w:trHeight w:val="561"/>
        </w:trPr>
        <w:tc>
          <w:tcPr>
            <w:tcW w:w="715" w:type="dxa"/>
            <w:shd w:val="clear" w:color="000000" w:fill="FFFFFF"/>
            <w:noWrap/>
            <w:vAlign w:val="center"/>
          </w:tcPr>
          <w:p w14:paraId="2F1369A3" w14:textId="2EFDD63A"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lastRenderedPageBreak/>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6</w:t>
            </w:r>
            <w:r w:rsidRPr="00A0478D">
              <w:rPr>
                <w:rFonts w:eastAsia="Times New Roman" w:cs="Calibri"/>
                <w:b/>
                <w:bCs/>
                <w:color w:val="000000"/>
                <w:lang w:val="en-GB" w:eastAsia="de-DE"/>
              </w:rPr>
              <w:t>.4</w:t>
            </w:r>
          </w:p>
        </w:tc>
        <w:tc>
          <w:tcPr>
            <w:tcW w:w="4955" w:type="dxa"/>
            <w:shd w:val="clear" w:color="000000" w:fill="FFFFFF"/>
            <w:noWrap/>
            <w:vAlign w:val="center"/>
          </w:tcPr>
          <w:p w14:paraId="16C859C6" w14:textId="44AEBA49" w:rsidR="00C57D72" w:rsidRPr="00FD36CC" w:rsidRDefault="00C57D72" w:rsidP="00161865">
            <w:pPr>
              <w:adjustRightInd/>
              <w:spacing w:after="0" w:line="240" w:lineRule="auto"/>
              <w:ind w:right="0"/>
              <w:rPr>
                <w:rFonts w:eastAsia="Times New Roman"/>
                <w:b/>
                <w:bCs/>
                <w:color w:val="000000"/>
                <w:lang w:val="en-GB" w:eastAsia="de-DE"/>
              </w:rPr>
            </w:pPr>
            <w:r w:rsidRPr="00FD36CC">
              <w:rPr>
                <w:rFonts w:eastAsia="Times New Roman"/>
                <w:b/>
                <w:bCs/>
                <w:color w:val="000000"/>
                <w:lang w:val="en-GB" w:eastAsia="de-DE"/>
              </w:rPr>
              <w:t>Environmental protection and safe disposal</w:t>
            </w:r>
          </w:p>
        </w:tc>
        <w:tc>
          <w:tcPr>
            <w:tcW w:w="1014" w:type="dxa"/>
            <w:shd w:val="clear" w:color="000000" w:fill="FFFFFF"/>
            <w:noWrap/>
            <w:vAlign w:val="center"/>
          </w:tcPr>
          <w:p w14:paraId="1F28C651"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A4CCC8A"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5A88E6F"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F4FD665" w14:textId="43F629A6"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17EB8BCF" w14:textId="77777777" w:rsidTr="00161865">
        <w:trPr>
          <w:trHeight w:val="561"/>
        </w:trPr>
        <w:tc>
          <w:tcPr>
            <w:tcW w:w="715" w:type="dxa"/>
            <w:shd w:val="clear" w:color="000000" w:fill="FFFFFF"/>
            <w:noWrap/>
            <w:vAlign w:val="center"/>
          </w:tcPr>
          <w:p w14:paraId="092E5411"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515BBA0F" w14:textId="67D8D1CC" w:rsidR="00C57D72" w:rsidRPr="00BB11A8" w:rsidRDefault="00C57D72" w:rsidP="00161865">
            <w:pPr>
              <w:adjustRightInd/>
              <w:spacing w:after="0" w:line="240" w:lineRule="auto"/>
              <w:ind w:right="0"/>
              <w:rPr>
                <w:rFonts w:eastAsia="Times New Roman"/>
                <w:bCs/>
                <w:color w:val="000000"/>
                <w:lang w:val="en-GB" w:eastAsia="de-DE"/>
              </w:rPr>
            </w:pPr>
            <w:r w:rsidRPr="00FD36CC">
              <w:rPr>
                <w:rFonts w:eastAsia="Times New Roman"/>
                <w:bCs/>
                <w:color w:val="000000"/>
                <w:lang w:val="en-GB" w:eastAsia="de-DE"/>
              </w:rPr>
              <w:t>A documentation that after use, the disposal of product and packaging in accordance with hospital, administrative and/or local government policy is safe. Precautions to be taken against any special, unusual risks related to the disposal of the device should be included in the labelling.</w:t>
            </w:r>
          </w:p>
        </w:tc>
        <w:tc>
          <w:tcPr>
            <w:tcW w:w="1014" w:type="dxa"/>
            <w:shd w:val="clear" w:color="000000" w:fill="FFFFFF"/>
            <w:noWrap/>
            <w:vAlign w:val="center"/>
          </w:tcPr>
          <w:p w14:paraId="46FDBFE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FB783F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AFC944E"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0E4F6BE9" w14:textId="3E6D1CF4"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1872F1E9" w14:textId="77777777" w:rsidTr="00161865">
        <w:trPr>
          <w:trHeight w:val="561"/>
        </w:trPr>
        <w:tc>
          <w:tcPr>
            <w:tcW w:w="715" w:type="dxa"/>
            <w:shd w:val="clear" w:color="000000" w:fill="FFFFFF"/>
            <w:noWrap/>
            <w:vAlign w:val="center"/>
          </w:tcPr>
          <w:p w14:paraId="48798E8C" w14:textId="16603725"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6</w:t>
            </w:r>
            <w:r w:rsidRPr="00A0478D">
              <w:rPr>
                <w:rFonts w:eastAsia="Times New Roman" w:cs="Calibri"/>
                <w:b/>
                <w:bCs/>
                <w:color w:val="000000"/>
                <w:lang w:val="en-GB" w:eastAsia="de-DE"/>
              </w:rPr>
              <w:t>.5</w:t>
            </w:r>
          </w:p>
        </w:tc>
        <w:tc>
          <w:tcPr>
            <w:tcW w:w="4955" w:type="dxa"/>
            <w:shd w:val="clear" w:color="000000" w:fill="FFFFFF"/>
            <w:noWrap/>
            <w:vAlign w:val="center"/>
          </w:tcPr>
          <w:p w14:paraId="7A5E66E0" w14:textId="5A0A7F29" w:rsidR="00C57D72" w:rsidRPr="00FD36CC" w:rsidRDefault="00C57D72" w:rsidP="00161865">
            <w:pPr>
              <w:adjustRightInd/>
              <w:spacing w:after="0" w:line="240" w:lineRule="auto"/>
              <w:ind w:right="0"/>
              <w:rPr>
                <w:rFonts w:eastAsia="Times New Roman"/>
                <w:b/>
                <w:bCs/>
                <w:color w:val="000000"/>
                <w:lang w:val="en-GB" w:eastAsia="de-DE"/>
              </w:rPr>
            </w:pPr>
            <w:r w:rsidRPr="00FD36CC">
              <w:rPr>
                <w:rFonts w:eastAsia="Times New Roman"/>
                <w:b/>
                <w:bCs/>
                <w:color w:val="000000"/>
                <w:lang w:val="en-GB" w:eastAsia="de-DE"/>
              </w:rPr>
              <w:t>Packaging</w:t>
            </w:r>
          </w:p>
        </w:tc>
        <w:tc>
          <w:tcPr>
            <w:tcW w:w="1014" w:type="dxa"/>
            <w:shd w:val="clear" w:color="000000" w:fill="FFFFFF"/>
            <w:noWrap/>
            <w:vAlign w:val="center"/>
          </w:tcPr>
          <w:p w14:paraId="129D8D4C"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1426211"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00A83B2"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AB90EA1" w14:textId="46D2621B"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5A971E92" w14:textId="77777777" w:rsidTr="00161865">
        <w:trPr>
          <w:trHeight w:val="561"/>
        </w:trPr>
        <w:tc>
          <w:tcPr>
            <w:tcW w:w="715" w:type="dxa"/>
            <w:shd w:val="clear" w:color="000000" w:fill="FFFFFF"/>
            <w:noWrap/>
            <w:vAlign w:val="center"/>
          </w:tcPr>
          <w:p w14:paraId="450F21BD"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708E3184" w14:textId="7331260F" w:rsidR="00C57D72" w:rsidRPr="00BB11A8" w:rsidRDefault="00C57D72" w:rsidP="00161865">
            <w:pPr>
              <w:adjustRightInd/>
              <w:spacing w:after="0" w:line="240" w:lineRule="auto"/>
              <w:ind w:right="0"/>
              <w:rPr>
                <w:rFonts w:eastAsia="Times New Roman"/>
                <w:bCs/>
                <w:color w:val="000000"/>
                <w:lang w:val="en-GB" w:eastAsia="de-DE"/>
              </w:rPr>
            </w:pPr>
            <w:r w:rsidRPr="00FD36CC">
              <w:rPr>
                <w:rFonts w:eastAsia="Times New Roman"/>
                <w:bCs/>
                <w:color w:val="000000"/>
                <w:lang w:val="en-GB" w:eastAsia="de-DE"/>
              </w:rPr>
              <w:t>A description of the packaging including a documentation the demonstrates that packaging will not adversely affect the device characteristics and performances during the shelf life of the device. Validation of packaging with regards to integrity, cleanliness, and sterilisation, where applicable</w:t>
            </w:r>
            <w:r>
              <w:rPr>
                <w:rFonts w:eastAsia="Times New Roman"/>
                <w:bCs/>
                <w:color w:val="000000"/>
                <w:lang w:val="en-GB" w:eastAsia="de-DE"/>
              </w:rPr>
              <w:t>.</w:t>
            </w:r>
          </w:p>
        </w:tc>
        <w:tc>
          <w:tcPr>
            <w:tcW w:w="1014" w:type="dxa"/>
            <w:shd w:val="clear" w:color="000000" w:fill="FFFFFF"/>
            <w:noWrap/>
            <w:vAlign w:val="center"/>
          </w:tcPr>
          <w:p w14:paraId="1A0E7756"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3804E4C0"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C04AA4E"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EC870AB" w14:textId="7E6B0DFD"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66CBD86F" w14:textId="77777777" w:rsidTr="00161865">
        <w:trPr>
          <w:trHeight w:val="561"/>
        </w:trPr>
        <w:tc>
          <w:tcPr>
            <w:tcW w:w="715" w:type="dxa"/>
            <w:shd w:val="clear" w:color="000000" w:fill="FFFFFF"/>
            <w:noWrap/>
            <w:vAlign w:val="center"/>
          </w:tcPr>
          <w:p w14:paraId="5EDD98EE" w14:textId="4A589077"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6</w:t>
            </w:r>
            <w:r w:rsidRPr="00A0478D">
              <w:rPr>
                <w:rFonts w:eastAsia="Times New Roman" w:cs="Calibri"/>
                <w:b/>
                <w:bCs/>
                <w:color w:val="000000"/>
                <w:lang w:val="en-GB" w:eastAsia="de-DE"/>
              </w:rPr>
              <w:t>.6</w:t>
            </w:r>
          </w:p>
        </w:tc>
        <w:tc>
          <w:tcPr>
            <w:tcW w:w="4955" w:type="dxa"/>
            <w:shd w:val="clear" w:color="000000" w:fill="FFFFFF"/>
            <w:noWrap/>
            <w:vAlign w:val="center"/>
          </w:tcPr>
          <w:p w14:paraId="7640C73D" w14:textId="10349E63" w:rsidR="00C57D72" w:rsidRPr="00FD36CC" w:rsidRDefault="00C57D72" w:rsidP="00161865">
            <w:pPr>
              <w:adjustRightInd/>
              <w:spacing w:after="0" w:line="240" w:lineRule="auto"/>
              <w:ind w:right="0"/>
              <w:rPr>
                <w:rFonts w:eastAsia="Times New Roman"/>
                <w:b/>
                <w:bCs/>
                <w:color w:val="000000"/>
                <w:lang w:val="en-GB" w:eastAsia="de-DE"/>
              </w:rPr>
            </w:pPr>
            <w:r w:rsidRPr="00FD36CC">
              <w:rPr>
                <w:rFonts w:eastAsia="Times New Roman"/>
                <w:b/>
                <w:bCs/>
                <w:color w:val="000000"/>
                <w:lang w:val="en-GB" w:eastAsia="de-DE"/>
              </w:rPr>
              <w:t>Devices with connection to other device(s)</w:t>
            </w:r>
          </w:p>
        </w:tc>
        <w:tc>
          <w:tcPr>
            <w:tcW w:w="1014" w:type="dxa"/>
            <w:shd w:val="clear" w:color="000000" w:fill="FFFFFF"/>
            <w:noWrap/>
            <w:vAlign w:val="center"/>
          </w:tcPr>
          <w:p w14:paraId="2E2854C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5C48A25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FF29D18"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989CEB5" w14:textId="0A0654DF"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AF7A73" w14:paraId="717B63BE" w14:textId="77777777" w:rsidTr="00161865">
        <w:trPr>
          <w:trHeight w:val="561"/>
        </w:trPr>
        <w:tc>
          <w:tcPr>
            <w:tcW w:w="715" w:type="dxa"/>
            <w:shd w:val="clear" w:color="000000" w:fill="FFFFFF"/>
            <w:noWrap/>
            <w:vAlign w:val="center"/>
          </w:tcPr>
          <w:p w14:paraId="34D0436B"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4E7688A9" w14:textId="66B83938" w:rsidR="00C57D72" w:rsidRDefault="00C57D72" w:rsidP="00161865">
            <w:pPr>
              <w:adjustRightInd/>
              <w:spacing w:after="0" w:line="240" w:lineRule="auto"/>
              <w:ind w:right="0"/>
              <w:rPr>
                <w:rFonts w:eastAsia="Times New Roman"/>
                <w:bCs/>
                <w:color w:val="000000"/>
                <w:lang w:val="en-GB" w:eastAsia="de-DE"/>
              </w:rPr>
            </w:pPr>
            <w:r w:rsidRPr="00FD36CC">
              <w:rPr>
                <w:rFonts w:eastAsia="Times New Roman"/>
                <w:bCs/>
                <w:color w:val="000000"/>
                <w:lang w:val="en-GB" w:eastAsia="de-DE"/>
              </w:rPr>
              <w:t>Information how to obtain a validated and safe combination (including key performance characteristics).</w:t>
            </w:r>
          </w:p>
          <w:p w14:paraId="4478064A" w14:textId="77777777" w:rsidR="00C57D72" w:rsidRPr="00FD36CC" w:rsidRDefault="00C57D72" w:rsidP="00161865">
            <w:pPr>
              <w:adjustRightInd/>
              <w:spacing w:after="0" w:line="240" w:lineRule="auto"/>
              <w:ind w:right="0"/>
              <w:rPr>
                <w:rFonts w:eastAsia="Times New Roman"/>
                <w:bCs/>
                <w:color w:val="000000"/>
                <w:lang w:val="en-GB" w:eastAsia="de-DE"/>
              </w:rPr>
            </w:pPr>
          </w:p>
          <w:p w14:paraId="001792E7" w14:textId="59C0A9E5" w:rsidR="00C57D72" w:rsidRPr="00FD36CC" w:rsidRDefault="00C57D72" w:rsidP="00161865">
            <w:pPr>
              <w:adjustRightInd/>
              <w:spacing w:after="0" w:line="240" w:lineRule="auto"/>
              <w:ind w:right="0"/>
              <w:rPr>
                <w:rFonts w:eastAsia="Times New Roman"/>
                <w:bCs/>
                <w:color w:val="000000"/>
                <w:lang w:val="en-GB" w:eastAsia="de-DE"/>
              </w:rPr>
            </w:pPr>
            <w:r w:rsidRPr="00FD36CC">
              <w:rPr>
                <w:rFonts w:eastAsia="Times New Roman"/>
                <w:bCs/>
                <w:color w:val="000000"/>
                <w:lang w:val="en-GB" w:eastAsia="de-DE"/>
              </w:rPr>
              <w:t xml:space="preserve">A demonstration that the whole combination (including the connection system) is safe and does not impair the specified performances. Information given on known restrictions to combinations. If device needs to be connected to other equipment, description of combination given including proof that it conforms to the general safety and performance </w:t>
            </w:r>
          </w:p>
          <w:p w14:paraId="34B71C90" w14:textId="236B4EBC" w:rsidR="00C57D72" w:rsidRPr="00BB11A8" w:rsidRDefault="00C57D72" w:rsidP="00161865">
            <w:pPr>
              <w:adjustRightInd/>
              <w:spacing w:after="0" w:line="240" w:lineRule="auto"/>
              <w:ind w:right="0"/>
              <w:rPr>
                <w:rFonts w:eastAsia="Times New Roman"/>
                <w:bCs/>
                <w:color w:val="000000"/>
                <w:lang w:val="en-GB" w:eastAsia="de-DE"/>
              </w:rPr>
            </w:pPr>
            <w:r w:rsidRPr="00FD36CC">
              <w:rPr>
                <w:rFonts w:eastAsia="Times New Roman"/>
                <w:bCs/>
                <w:color w:val="000000"/>
                <w:lang w:val="en-GB" w:eastAsia="de-DE"/>
              </w:rPr>
              <w:t>requirements.</w:t>
            </w:r>
          </w:p>
        </w:tc>
        <w:tc>
          <w:tcPr>
            <w:tcW w:w="1014" w:type="dxa"/>
            <w:shd w:val="clear" w:color="000000" w:fill="FFFFFF"/>
            <w:noWrap/>
            <w:vAlign w:val="center"/>
          </w:tcPr>
          <w:p w14:paraId="6FCF9F18"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B17534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5C1A1E4"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18E3AD48" w14:textId="09817066"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404861C3" w14:textId="77777777" w:rsidTr="00161865">
        <w:trPr>
          <w:trHeight w:val="561"/>
        </w:trPr>
        <w:tc>
          <w:tcPr>
            <w:tcW w:w="715" w:type="dxa"/>
            <w:shd w:val="clear" w:color="000000" w:fill="FFFFFF"/>
            <w:noWrap/>
            <w:vAlign w:val="center"/>
          </w:tcPr>
          <w:p w14:paraId="3B3C5077" w14:textId="335BDA7B" w:rsidR="00C57D72" w:rsidRPr="00A0478D" w:rsidRDefault="00C57D72" w:rsidP="00161865">
            <w:pPr>
              <w:adjustRightInd/>
              <w:spacing w:after="0" w:line="240" w:lineRule="auto"/>
              <w:ind w:right="0"/>
              <w:rPr>
                <w:rFonts w:eastAsia="Times New Roman" w:cs="Calibri"/>
                <w:b/>
                <w:bCs/>
                <w:color w:val="000000"/>
                <w:lang w:val="en-GB" w:eastAsia="de-DE"/>
              </w:rPr>
            </w:pPr>
            <w:r w:rsidRPr="00A0478D">
              <w:rPr>
                <w:rFonts w:eastAsia="Times New Roman" w:cs="Calibri"/>
                <w:b/>
                <w:bCs/>
                <w:color w:val="000000"/>
                <w:lang w:val="en-GB" w:eastAsia="de-DE"/>
              </w:rPr>
              <w:lastRenderedPageBreak/>
              <w:t>6.</w:t>
            </w:r>
            <w:r w:rsidR="000A537B">
              <w:rPr>
                <w:rFonts w:eastAsia="Times New Roman" w:cs="Calibri"/>
                <w:b/>
                <w:bCs/>
                <w:color w:val="000000"/>
                <w:lang w:val="en-GB" w:eastAsia="de-DE"/>
              </w:rPr>
              <w:t>7</w:t>
            </w:r>
            <w:r w:rsidRPr="00A0478D">
              <w:rPr>
                <w:rFonts w:eastAsia="Times New Roman" w:cs="Calibri"/>
                <w:b/>
                <w:bCs/>
                <w:color w:val="000000"/>
                <w:lang w:val="en-GB" w:eastAsia="de-DE"/>
              </w:rPr>
              <w:t>.</w:t>
            </w:r>
            <w:r w:rsidR="00877C92">
              <w:rPr>
                <w:rFonts w:eastAsia="Times New Roman" w:cs="Calibri"/>
                <w:b/>
                <w:bCs/>
                <w:color w:val="000000"/>
                <w:lang w:val="en-GB" w:eastAsia="de-DE"/>
              </w:rPr>
              <w:t>7</w:t>
            </w:r>
          </w:p>
        </w:tc>
        <w:tc>
          <w:tcPr>
            <w:tcW w:w="4955" w:type="dxa"/>
            <w:shd w:val="clear" w:color="000000" w:fill="FFFFFF"/>
            <w:noWrap/>
            <w:vAlign w:val="center"/>
          </w:tcPr>
          <w:p w14:paraId="13E7BF26" w14:textId="56B94EAE" w:rsidR="00C57D72" w:rsidRPr="00FD36CC" w:rsidRDefault="00C57D72" w:rsidP="00161865">
            <w:pPr>
              <w:adjustRightInd/>
              <w:spacing w:after="0" w:line="240" w:lineRule="auto"/>
              <w:ind w:right="0"/>
              <w:rPr>
                <w:rFonts w:eastAsia="Times New Roman"/>
                <w:b/>
                <w:bCs/>
                <w:color w:val="000000"/>
                <w:lang w:val="en-GB" w:eastAsia="de-DE"/>
              </w:rPr>
            </w:pPr>
            <w:r w:rsidRPr="00FD36CC">
              <w:rPr>
                <w:rFonts w:eastAsia="Times New Roman"/>
                <w:b/>
                <w:bCs/>
                <w:color w:val="000000"/>
                <w:lang w:val="en-GB" w:eastAsia="de-DE"/>
              </w:rPr>
              <w:t>Devices with a Measuring Function</w:t>
            </w:r>
          </w:p>
        </w:tc>
        <w:tc>
          <w:tcPr>
            <w:tcW w:w="1014" w:type="dxa"/>
            <w:shd w:val="clear" w:color="000000" w:fill="FFFFFF"/>
            <w:noWrap/>
            <w:vAlign w:val="center"/>
          </w:tcPr>
          <w:p w14:paraId="3C9CC71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58E45E5"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DAEAF2E"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1E1C5728" w14:textId="306C8172"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48D3A562" w14:textId="77777777" w:rsidTr="00161865">
        <w:trPr>
          <w:trHeight w:val="561"/>
        </w:trPr>
        <w:tc>
          <w:tcPr>
            <w:tcW w:w="715" w:type="dxa"/>
            <w:shd w:val="clear" w:color="000000" w:fill="FFFFFF"/>
            <w:noWrap/>
            <w:vAlign w:val="center"/>
          </w:tcPr>
          <w:p w14:paraId="7B19FF64"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2856DCD4" w14:textId="77777777" w:rsidR="00C57D72" w:rsidRPr="00FD36CC" w:rsidRDefault="00C57D72" w:rsidP="00161865">
            <w:pPr>
              <w:adjustRightInd/>
              <w:spacing w:after="0" w:line="240" w:lineRule="auto"/>
              <w:ind w:right="0"/>
              <w:rPr>
                <w:rFonts w:eastAsia="Times New Roman"/>
                <w:bCs/>
                <w:color w:val="000000"/>
                <w:lang w:val="en-GB" w:eastAsia="de-DE"/>
              </w:rPr>
            </w:pPr>
            <w:r w:rsidRPr="00FD36CC">
              <w:rPr>
                <w:rFonts w:eastAsia="Times New Roman"/>
                <w:bCs/>
                <w:color w:val="000000"/>
                <w:lang w:val="en-GB" w:eastAsia="de-DE"/>
              </w:rPr>
              <w:t xml:space="preserve">Measurements should be expressed in legal units conforming to provisions the respective regulatory requirements. </w:t>
            </w:r>
          </w:p>
          <w:p w14:paraId="2F67A347" w14:textId="27627281" w:rsidR="00C57D72" w:rsidRPr="00BB11A8" w:rsidRDefault="00C57D72" w:rsidP="00161865">
            <w:pPr>
              <w:adjustRightInd/>
              <w:spacing w:after="0" w:line="240" w:lineRule="auto"/>
              <w:ind w:right="0"/>
              <w:rPr>
                <w:rFonts w:eastAsia="Times New Roman"/>
                <w:bCs/>
                <w:color w:val="000000"/>
                <w:lang w:val="en-GB" w:eastAsia="de-DE"/>
              </w:rPr>
            </w:pPr>
            <w:r w:rsidRPr="00FD36CC">
              <w:rPr>
                <w:rFonts w:eastAsia="Times New Roman"/>
                <w:bCs/>
                <w:color w:val="000000"/>
                <w:lang w:val="en-GB" w:eastAsia="de-DE"/>
              </w:rPr>
              <w:t>Metrological traceability of values assigned to calibrators and control materials must be shown.</w:t>
            </w:r>
          </w:p>
        </w:tc>
        <w:tc>
          <w:tcPr>
            <w:tcW w:w="1014" w:type="dxa"/>
            <w:shd w:val="clear" w:color="000000" w:fill="FFFFFF"/>
            <w:noWrap/>
            <w:vAlign w:val="center"/>
          </w:tcPr>
          <w:p w14:paraId="35EFAFB0"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733C50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7A56B54"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81BAD4A" w14:textId="41835D77"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7B26FF75" w14:textId="77777777" w:rsidTr="00161865">
        <w:trPr>
          <w:trHeight w:val="561"/>
        </w:trPr>
        <w:tc>
          <w:tcPr>
            <w:tcW w:w="715" w:type="dxa"/>
            <w:shd w:val="clear" w:color="auto" w:fill="CCECFF"/>
            <w:noWrap/>
            <w:vAlign w:val="center"/>
          </w:tcPr>
          <w:p w14:paraId="7B463E54" w14:textId="497A3357" w:rsidR="00C57D72" w:rsidRPr="00A0478D" w:rsidRDefault="005154B9"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7</w:t>
            </w:r>
            <w:r w:rsidR="00C57D72" w:rsidRPr="00A0478D">
              <w:rPr>
                <w:rFonts w:eastAsia="Times New Roman" w:cs="Calibri"/>
                <w:b/>
                <w:bCs/>
                <w:color w:val="000000"/>
                <w:lang w:val="en-GB" w:eastAsia="de-DE"/>
              </w:rPr>
              <w:t>.</w:t>
            </w:r>
          </w:p>
        </w:tc>
        <w:tc>
          <w:tcPr>
            <w:tcW w:w="13318" w:type="dxa"/>
            <w:gridSpan w:val="5"/>
            <w:shd w:val="clear" w:color="auto" w:fill="CCECFF"/>
            <w:vAlign w:val="center"/>
          </w:tcPr>
          <w:p w14:paraId="2E8BB378" w14:textId="700CE792" w:rsidR="00C57D72" w:rsidRPr="00BC7A1F" w:rsidRDefault="00C57D72" w:rsidP="00161865">
            <w:pPr>
              <w:adjustRightInd/>
              <w:spacing w:after="0" w:line="240" w:lineRule="auto"/>
              <w:ind w:right="0"/>
              <w:rPr>
                <w:rStyle w:val="Fett"/>
                <w:lang w:val="en-GB" w:eastAsia="de-DE"/>
              </w:rPr>
            </w:pPr>
            <w:r w:rsidRPr="00BC7A1F">
              <w:rPr>
                <w:rStyle w:val="Fett"/>
                <w:lang w:val="en-GB"/>
              </w:rPr>
              <w:t>Post-Market Surveillance</w:t>
            </w:r>
          </w:p>
          <w:p w14:paraId="4829802C" w14:textId="10BAD3C0" w:rsidR="00C57D72" w:rsidRPr="00BC7A1F" w:rsidRDefault="00C57D72" w:rsidP="00161865">
            <w:pPr>
              <w:adjustRightInd/>
              <w:spacing w:after="0" w:line="240" w:lineRule="auto"/>
              <w:ind w:right="0"/>
              <w:rPr>
                <w:rStyle w:val="Fett"/>
                <w:b w:val="0"/>
                <w:lang w:val="en-GB"/>
              </w:rPr>
            </w:pPr>
            <w:r w:rsidRPr="00BC7A1F">
              <w:rPr>
                <w:rStyle w:val="Fett"/>
                <w:b w:val="0"/>
                <w:lang w:val="en-GB" w:eastAsia="de-DE"/>
              </w:rPr>
              <w:t>(Regulation</w:t>
            </w:r>
            <w:r w:rsidRPr="00BC7A1F">
              <w:rPr>
                <w:rStyle w:val="Fett"/>
                <w:b w:val="0"/>
                <w:lang w:val="en-GB"/>
              </w:rPr>
              <w:t xml:space="preserve"> </w:t>
            </w:r>
            <w:r w:rsidRPr="00BC7A1F">
              <w:rPr>
                <w:rStyle w:val="Fett"/>
                <w:b w:val="0"/>
                <w:lang w:val="en-GB" w:eastAsia="de-DE"/>
              </w:rPr>
              <w:t>(EU) 2017/746 (IVDR), Annex III)</w:t>
            </w:r>
          </w:p>
        </w:tc>
      </w:tr>
      <w:tr w:rsidR="00C57D72" w:rsidRPr="00AF7A73" w14:paraId="7D2C8F96" w14:textId="77777777" w:rsidTr="00161865">
        <w:trPr>
          <w:trHeight w:val="561"/>
        </w:trPr>
        <w:tc>
          <w:tcPr>
            <w:tcW w:w="715" w:type="dxa"/>
            <w:shd w:val="clear" w:color="auto" w:fill="EFF9FF"/>
            <w:noWrap/>
            <w:vAlign w:val="center"/>
          </w:tcPr>
          <w:p w14:paraId="1E7BB1F7" w14:textId="4276F613" w:rsidR="00C57D72" w:rsidRPr="00A0478D" w:rsidRDefault="005154B9"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7</w:t>
            </w:r>
            <w:r w:rsidR="00C57D72" w:rsidRPr="00A0478D">
              <w:rPr>
                <w:rFonts w:eastAsia="Times New Roman" w:cs="Calibri"/>
                <w:b/>
                <w:bCs/>
                <w:color w:val="000000"/>
                <w:lang w:val="en-GB" w:eastAsia="de-DE"/>
              </w:rPr>
              <w:t>.1</w:t>
            </w:r>
          </w:p>
        </w:tc>
        <w:tc>
          <w:tcPr>
            <w:tcW w:w="4955" w:type="dxa"/>
            <w:shd w:val="clear" w:color="auto" w:fill="EFF9FF"/>
            <w:noWrap/>
            <w:vAlign w:val="center"/>
          </w:tcPr>
          <w:p w14:paraId="0A6710B9" w14:textId="5B05E2D0" w:rsidR="00C57D72" w:rsidRPr="0058412C" w:rsidRDefault="00C57D72" w:rsidP="00161865">
            <w:pPr>
              <w:adjustRightInd/>
              <w:spacing w:after="0" w:line="240" w:lineRule="auto"/>
              <w:ind w:right="0"/>
              <w:rPr>
                <w:rFonts w:eastAsia="Times New Roman"/>
                <w:b/>
                <w:color w:val="000000"/>
                <w:lang w:val="en-GB" w:eastAsia="de-DE"/>
              </w:rPr>
            </w:pPr>
            <w:r w:rsidRPr="0058412C">
              <w:rPr>
                <w:rFonts w:eastAsia="Times New Roman"/>
                <w:b/>
                <w:color w:val="000000"/>
                <w:lang w:val="en-GB" w:eastAsia="de-DE"/>
              </w:rPr>
              <w:t>Post-market surveillance plan</w:t>
            </w:r>
          </w:p>
        </w:tc>
        <w:tc>
          <w:tcPr>
            <w:tcW w:w="1014" w:type="dxa"/>
            <w:shd w:val="clear" w:color="auto" w:fill="EFF9FF"/>
            <w:noWrap/>
            <w:vAlign w:val="center"/>
          </w:tcPr>
          <w:p w14:paraId="2EF9415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2B4C0F3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78FEBDFB"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1FF10A80" w14:textId="7D27C007"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60ED74A7" w14:textId="77777777" w:rsidTr="00161865">
        <w:trPr>
          <w:trHeight w:val="561"/>
        </w:trPr>
        <w:tc>
          <w:tcPr>
            <w:tcW w:w="715" w:type="dxa"/>
            <w:shd w:val="clear" w:color="000000" w:fill="FFFFFF"/>
            <w:noWrap/>
            <w:vAlign w:val="center"/>
          </w:tcPr>
          <w:p w14:paraId="657A3AF8"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57BF7989" w14:textId="77777777" w:rsidR="00C57D72" w:rsidRPr="0058412C" w:rsidRDefault="00C57D72" w:rsidP="00161865">
            <w:p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The post-market surveillance plan shall address the collection and utilisation of available information, in particular:</w:t>
            </w:r>
          </w:p>
          <w:p w14:paraId="63EF98E9" w14:textId="77777777" w:rsidR="00C57D72" w:rsidRDefault="00C57D72" w:rsidP="00161865">
            <w:pPr>
              <w:pStyle w:val="Listenabsatz"/>
              <w:numPr>
                <w:ilvl w:val="0"/>
                <w:numId w:val="10"/>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information concerning serious incidents, including information from PSURs, and field safety corrective actions,</w:t>
            </w:r>
          </w:p>
          <w:p w14:paraId="65189BDA" w14:textId="77777777" w:rsidR="00C57D72" w:rsidRDefault="00C57D72" w:rsidP="00161865">
            <w:pPr>
              <w:pStyle w:val="Listenabsatz"/>
              <w:numPr>
                <w:ilvl w:val="0"/>
                <w:numId w:val="10"/>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records referring to non-serious incidents and data on any undesirable side-effects,</w:t>
            </w:r>
          </w:p>
          <w:p w14:paraId="1C7FE124" w14:textId="77777777" w:rsidR="00C57D72" w:rsidRDefault="00C57D72" w:rsidP="00161865">
            <w:pPr>
              <w:pStyle w:val="Listenabsatz"/>
              <w:numPr>
                <w:ilvl w:val="0"/>
                <w:numId w:val="10"/>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 xml:space="preserve"> information from trend reporting,</w:t>
            </w:r>
          </w:p>
          <w:p w14:paraId="12A56378" w14:textId="77777777" w:rsidR="00C57D72" w:rsidRDefault="00C57D72" w:rsidP="00161865">
            <w:pPr>
              <w:pStyle w:val="Listenabsatz"/>
              <w:numPr>
                <w:ilvl w:val="0"/>
                <w:numId w:val="10"/>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relevant specialist or technical literature, databases and/or registers,</w:t>
            </w:r>
          </w:p>
          <w:p w14:paraId="4B75B020" w14:textId="77777777" w:rsidR="00C57D72" w:rsidRDefault="00C57D72" w:rsidP="00161865">
            <w:pPr>
              <w:pStyle w:val="Listenabsatz"/>
              <w:numPr>
                <w:ilvl w:val="0"/>
                <w:numId w:val="10"/>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information, including feedbacks and complaints, provided by users, distributors and importers,</w:t>
            </w:r>
            <w:r>
              <w:rPr>
                <w:rFonts w:eastAsia="Times New Roman"/>
                <w:bCs/>
                <w:color w:val="000000"/>
                <w:lang w:val="en-GB" w:eastAsia="de-DE"/>
              </w:rPr>
              <w:t xml:space="preserve"> </w:t>
            </w:r>
            <w:r w:rsidRPr="0058412C">
              <w:rPr>
                <w:rFonts w:eastAsia="Times New Roman"/>
                <w:bCs/>
                <w:color w:val="000000"/>
                <w:lang w:val="en-GB" w:eastAsia="de-DE"/>
              </w:rPr>
              <w:t>and</w:t>
            </w:r>
          </w:p>
          <w:p w14:paraId="1D351CFA" w14:textId="38A5CB51" w:rsidR="00C57D72" w:rsidRPr="00BB11A8" w:rsidRDefault="00C57D72" w:rsidP="00161865">
            <w:pPr>
              <w:pStyle w:val="Listenabsatz"/>
              <w:numPr>
                <w:ilvl w:val="0"/>
                <w:numId w:val="10"/>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 xml:space="preserve"> publicly-available information about similar medical devices.</w:t>
            </w:r>
          </w:p>
        </w:tc>
        <w:tc>
          <w:tcPr>
            <w:tcW w:w="1014" w:type="dxa"/>
            <w:shd w:val="clear" w:color="000000" w:fill="FFFFFF"/>
            <w:noWrap/>
            <w:vAlign w:val="center"/>
          </w:tcPr>
          <w:p w14:paraId="19A57758"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BE01A3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4639533"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5F5BD454" w14:textId="5FCB46AF"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538D7505" w14:textId="77777777" w:rsidTr="00161865">
        <w:trPr>
          <w:trHeight w:val="561"/>
        </w:trPr>
        <w:tc>
          <w:tcPr>
            <w:tcW w:w="715" w:type="dxa"/>
            <w:shd w:val="clear" w:color="000000" w:fill="FFFFFF"/>
            <w:noWrap/>
            <w:vAlign w:val="center"/>
          </w:tcPr>
          <w:p w14:paraId="752A359E"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52910FE4" w14:textId="77777777" w:rsidR="00C57D72" w:rsidRPr="0058412C" w:rsidRDefault="00C57D72" w:rsidP="00161865">
            <w:p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The post-market surveillance plan shall cover at least:</w:t>
            </w:r>
          </w:p>
          <w:p w14:paraId="4442EB26"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lastRenderedPageBreak/>
              <w:t>a proactive and systematic process to collect any information referred to above. The process shall allow a correct characterisation of the performance of the devices and shall also allow a comparison to be made between the device and similar products available on the market;</w:t>
            </w:r>
          </w:p>
          <w:p w14:paraId="0E37D1FC"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effective and appropriate methods and processes to assess the collected data;</w:t>
            </w:r>
          </w:p>
          <w:p w14:paraId="3147566E"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suitable indicators and threshold values that shall be used in the continuous reassessment of the benefit-risk analysis and of the risk management as referred to in Section 3 of Annex I;</w:t>
            </w:r>
          </w:p>
          <w:p w14:paraId="3A138A38"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effective and appropriate methods and tools to investigate complaints and analyse market-related experience collected in the field;</w:t>
            </w:r>
          </w:p>
          <w:p w14:paraId="227AEABD"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 xml:space="preserve"> methods and protocols to manage the events subject to the trend report as provided for in Article 83, including the </w:t>
            </w:r>
          </w:p>
          <w:p w14:paraId="396692A7"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methods and protocols to be used to establish any statistically significant increase in the frequency or severity of incidents as well as the observation period;</w:t>
            </w:r>
          </w:p>
          <w:p w14:paraId="797B89D1"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methods and protocols to communicate effectively with competent authorities, notified bodies, economic operators and users;</w:t>
            </w:r>
          </w:p>
          <w:p w14:paraId="5DFACE7C"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reference to procedures to fulfil the manufacturers obligations laid down in Articles 78, 79 and 81;</w:t>
            </w:r>
          </w:p>
          <w:p w14:paraId="3248FD68"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systematic procedures to identify and initiate appropriate measures including corrective actions;</w:t>
            </w:r>
          </w:p>
          <w:p w14:paraId="777ACD73" w14:textId="77777777" w:rsidR="00C57D72"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lastRenderedPageBreak/>
              <w:t>effective tools to trace and identify devices for which corrective actions might be necessary; and</w:t>
            </w:r>
          </w:p>
          <w:p w14:paraId="6F57EB74" w14:textId="3D28A8FE" w:rsidR="00C57D72" w:rsidRPr="00BB11A8" w:rsidRDefault="00C57D72" w:rsidP="00161865">
            <w:pPr>
              <w:pStyle w:val="Listenabsatz"/>
              <w:numPr>
                <w:ilvl w:val="0"/>
                <w:numId w:val="11"/>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a PMPF plan as referred to in Part B of Annex XIII, or a justification as to why a PMPF is not applicable.</w:t>
            </w:r>
          </w:p>
        </w:tc>
        <w:tc>
          <w:tcPr>
            <w:tcW w:w="1014" w:type="dxa"/>
            <w:shd w:val="clear" w:color="000000" w:fill="FFFFFF"/>
            <w:noWrap/>
            <w:vAlign w:val="center"/>
          </w:tcPr>
          <w:p w14:paraId="1AF0A120"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1C62165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7339E3D"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9FF55DA" w14:textId="4B5F6F0A" w:rsidR="00C57D72" w:rsidRPr="004C3A94" w:rsidRDefault="00C57D72" w:rsidP="00161865">
            <w:pPr>
              <w:adjustRightInd/>
              <w:spacing w:after="0" w:line="240" w:lineRule="auto"/>
              <w:ind w:right="0"/>
              <w:rPr>
                <w:rFonts w:eastAsia="Times New Roman" w:cs="Calibri"/>
                <w:color w:val="000000"/>
                <w:lang w:val="en-GB" w:eastAsia="de-DE"/>
              </w:rPr>
            </w:pPr>
          </w:p>
        </w:tc>
      </w:tr>
      <w:tr w:rsidR="005154B9" w:rsidRPr="004B5366" w14:paraId="3921461E" w14:textId="77777777" w:rsidTr="00161865">
        <w:trPr>
          <w:trHeight w:val="561"/>
        </w:trPr>
        <w:tc>
          <w:tcPr>
            <w:tcW w:w="715" w:type="dxa"/>
            <w:shd w:val="clear" w:color="auto" w:fill="EFF9FF"/>
            <w:noWrap/>
            <w:vAlign w:val="center"/>
          </w:tcPr>
          <w:p w14:paraId="472B85F4" w14:textId="055C62B6" w:rsidR="005154B9" w:rsidRDefault="005154B9"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lastRenderedPageBreak/>
              <w:t>7.2</w:t>
            </w:r>
          </w:p>
        </w:tc>
        <w:tc>
          <w:tcPr>
            <w:tcW w:w="4955" w:type="dxa"/>
            <w:shd w:val="clear" w:color="auto" w:fill="EFF9FF"/>
            <w:noWrap/>
            <w:vAlign w:val="center"/>
          </w:tcPr>
          <w:p w14:paraId="6BBEAE97" w14:textId="5BD6594C" w:rsidR="005154B9" w:rsidRPr="0058412C" w:rsidRDefault="005154B9" w:rsidP="00161865">
            <w:pPr>
              <w:adjustRightInd/>
              <w:spacing w:after="0" w:line="240" w:lineRule="auto"/>
              <w:ind w:right="0"/>
              <w:rPr>
                <w:rFonts w:eastAsia="Times New Roman"/>
                <w:b/>
                <w:bCs/>
                <w:color w:val="000000"/>
                <w:lang w:val="en-GB" w:eastAsia="de-DE"/>
              </w:rPr>
            </w:pPr>
            <w:r>
              <w:rPr>
                <w:rFonts w:eastAsia="Times New Roman"/>
                <w:b/>
                <w:bCs/>
                <w:color w:val="000000"/>
                <w:lang w:val="en-GB" w:eastAsia="de-DE"/>
              </w:rPr>
              <w:t>Post-Market Surveillance Report</w:t>
            </w:r>
            <w:r w:rsidR="00A20F28">
              <w:rPr>
                <w:rFonts w:eastAsia="Times New Roman"/>
                <w:b/>
                <w:bCs/>
                <w:color w:val="000000"/>
                <w:lang w:val="en-GB" w:eastAsia="de-DE"/>
              </w:rPr>
              <w:t xml:space="preserve"> (only class A and B devices)</w:t>
            </w:r>
          </w:p>
        </w:tc>
        <w:tc>
          <w:tcPr>
            <w:tcW w:w="1014" w:type="dxa"/>
            <w:shd w:val="clear" w:color="auto" w:fill="EFF9FF"/>
            <w:noWrap/>
            <w:vAlign w:val="center"/>
          </w:tcPr>
          <w:p w14:paraId="0D3CC59A" w14:textId="77777777" w:rsidR="005154B9" w:rsidRPr="004C3A94" w:rsidRDefault="005154B9"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6F756A67" w14:textId="77777777" w:rsidR="005154B9" w:rsidRPr="004C3A94" w:rsidRDefault="005154B9"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067FD9DF" w14:textId="77777777" w:rsidR="005154B9" w:rsidRPr="004C3A94" w:rsidRDefault="005154B9"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71D5FB94" w14:textId="77777777" w:rsidR="005154B9" w:rsidRPr="004C3A94" w:rsidRDefault="005154B9" w:rsidP="00161865">
            <w:pPr>
              <w:adjustRightInd/>
              <w:spacing w:after="0" w:line="240" w:lineRule="auto"/>
              <w:ind w:right="0"/>
              <w:rPr>
                <w:rFonts w:eastAsia="Times New Roman" w:cs="Calibri"/>
                <w:color w:val="000000"/>
                <w:lang w:val="en-GB" w:eastAsia="de-DE"/>
              </w:rPr>
            </w:pPr>
          </w:p>
        </w:tc>
      </w:tr>
      <w:tr w:rsidR="005154B9" w:rsidRPr="004B5366" w14:paraId="0CE80314" w14:textId="77777777" w:rsidTr="00161865">
        <w:trPr>
          <w:trHeight w:val="561"/>
        </w:trPr>
        <w:tc>
          <w:tcPr>
            <w:tcW w:w="715" w:type="dxa"/>
            <w:shd w:val="clear" w:color="000000" w:fill="FFFFFF"/>
            <w:noWrap/>
            <w:vAlign w:val="center"/>
          </w:tcPr>
          <w:p w14:paraId="7A3842BE" w14:textId="77777777" w:rsidR="005154B9" w:rsidRDefault="005154B9"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5B656177" w14:textId="34B5433B" w:rsidR="005154B9" w:rsidRPr="00A20F28" w:rsidRDefault="00A20F28" w:rsidP="00161865">
            <w:pPr>
              <w:adjustRightInd/>
              <w:spacing w:after="0" w:line="240" w:lineRule="auto"/>
              <w:ind w:right="0"/>
              <w:rPr>
                <w:rFonts w:eastAsia="Times New Roman"/>
                <w:color w:val="000000"/>
                <w:lang w:val="en-GB" w:eastAsia="de-DE"/>
              </w:rPr>
            </w:pPr>
            <w:r w:rsidRPr="00A20F28">
              <w:rPr>
                <w:rFonts w:eastAsia="Times New Roman"/>
                <w:color w:val="000000"/>
                <w:lang w:val="en-GB" w:eastAsia="de-DE"/>
              </w:rPr>
              <w:t>Summarise the results and conclusions of the analyses of the post-market surveillance data gathered as a result of the post-market surveillance plan together with a rationale and description of any preventive and corrective actions taken. The report shall be updated when necessary and made available to the notified body and the competent authority upon request.</w:t>
            </w:r>
          </w:p>
        </w:tc>
        <w:tc>
          <w:tcPr>
            <w:tcW w:w="1014" w:type="dxa"/>
            <w:shd w:val="clear" w:color="000000" w:fill="FFFFFF"/>
            <w:noWrap/>
            <w:vAlign w:val="center"/>
          </w:tcPr>
          <w:p w14:paraId="5B59088A" w14:textId="77777777" w:rsidR="005154B9" w:rsidRPr="004C3A94" w:rsidRDefault="005154B9"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01A98F12" w14:textId="77777777" w:rsidR="005154B9" w:rsidRPr="004C3A94" w:rsidRDefault="005154B9"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0E25F75" w14:textId="77777777" w:rsidR="005154B9" w:rsidRPr="004C3A94" w:rsidRDefault="005154B9"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774F501" w14:textId="77777777" w:rsidR="005154B9" w:rsidRPr="004C3A94" w:rsidRDefault="005154B9" w:rsidP="00161865">
            <w:pPr>
              <w:adjustRightInd/>
              <w:spacing w:after="0" w:line="240" w:lineRule="auto"/>
              <w:ind w:right="0"/>
              <w:rPr>
                <w:rFonts w:eastAsia="Times New Roman" w:cs="Calibri"/>
                <w:color w:val="000000"/>
                <w:lang w:val="en-GB" w:eastAsia="de-DE"/>
              </w:rPr>
            </w:pPr>
          </w:p>
        </w:tc>
      </w:tr>
      <w:tr w:rsidR="00C57D72" w:rsidRPr="004B5366" w14:paraId="1E8EDA2B" w14:textId="77777777" w:rsidTr="00161865">
        <w:trPr>
          <w:trHeight w:val="561"/>
        </w:trPr>
        <w:tc>
          <w:tcPr>
            <w:tcW w:w="715" w:type="dxa"/>
            <w:shd w:val="clear" w:color="auto" w:fill="EFF9FF"/>
            <w:noWrap/>
            <w:vAlign w:val="center"/>
          </w:tcPr>
          <w:p w14:paraId="5D711111" w14:textId="7988A55B" w:rsidR="00C57D72" w:rsidRPr="00A0478D" w:rsidRDefault="005154B9"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7</w:t>
            </w:r>
            <w:r w:rsidR="00C57D72" w:rsidRPr="00A0478D">
              <w:rPr>
                <w:rFonts w:eastAsia="Times New Roman" w:cs="Calibri"/>
                <w:b/>
                <w:bCs/>
                <w:color w:val="000000"/>
                <w:lang w:val="en-GB" w:eastAsia="de-DE"/>
              </w:rPr>
              <w:t>.</w:t>
            </w:r>
            <w:r>
              <w:rPr>
                <w:rFonts w:eastAsia="Times New Roman" w:cs="Calibri"/>
                <w:b/>
                <w:bCs/>
                <w:color w:val="000000"/>
                <w:lang w:val="en-GB" w:eastAsia="de-DE"/>
              </w:rPr>
              <w:t>2</w:t>
            </w:r>
          </w:p>
        </w:tc>
        <w:tc>
          <w:tcPr>
            <w:tcW w:w="4955" w:type="dxa"/>
            <w:shd w:val="clear" w:color="auto" w:fill="EFF9FF"/>
            <w:noWrap/>
            <w:vAlign w:val="center"/>
          </w:tcPr>
          <w:p w14:paraId="55A8AE70" w14:textId="34421C1B" w:rsidR="00C57D72" w:rsidRPr="0058412C" w:rsidRDefault="00C57D72" w:rsidP="00161865">
            <w:pPr>
              <w:adjustRightInd/>
              <w:spacing w:after="0" w:line="240" w:lineRule="auto"/>
              <w:ind w:right="0"/>
              <w:rPr>
                <w:rFonts w:eastAsia="Times New Roman"/>
                <w:b/>
                <w:bCs/>
                <w:color w:val="000000"/>
                <w:lang w:val="en-GB" w:eastAsia="de-DE"/>
              </w:rPr>
            </w:pPr>
            <w:r w:rsidRPr="0058412C">
              <w:rPr>
                <w:rFonts w:eastAsia="Times New Roman"/>
                <w:b/>
                <w:bCs/>
                <w:color w:val="000000"/>
                <w:lang w:val="en-GB" w:eastAsia="de-DE"/>
              </w:rPr>
              <w:t>Periodic Safety Update Report (PSUR) (only class C and D devices)</w:t>
            </w:r>
          </w:p>
        </w:tc>
        <w:tc>
          <w:tcPr>
            <w:tcW w:w="1014" w:type="dxa"/>
            <w:shd w:val="clear" w:color="auto" w:fill="EFF9FF"/>
            <w:noWrap/>
            <w:vAlign w:val="center"/>
          </w:tcPr>
          <w:p w14:paraId="4338E2C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786152FE"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76C0B5A6"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48B9E4E4" w14:textId="024A4834"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20DF7F6A" w14:textId="77777777" w:rsidTr="00161865">
        <w:trPr>
          <w:trHeight w:val="561"/>
        </w:trPr>
        <w:tc>
          <w:tcPr>
            <w:tcW w:w="715" w:type="dxa"/>
            <w:shd w:val="clear" w:color="000000" w:fill="FFFFFF"/>
            <w:noWrap/>
            <w:vAlign w:val="center"/>
          </w:tcPr>
          <w:p w14:paraId="2A472409"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1899A891" w14:textId="77777777" w:rsidR="00C57D72" w:rsidRDefault="00C57D72" w:rsidP="00161865">
            <w:p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The results and conclusions of the analyses of the gathered post-market surveillance data according to Annex III together with a rationale and description of any preventive and corrective actions taken shall be gathered in a PSUR, all PSURs are part of the Technical Documentation.</w:t>
            </w:r>
          </w:p>
          <w:p w14:paraId="30445D6C" w14:textId="77777777" w:rsidR="00C57D72" w:rsidRDefault="00C57D72" w:rsidP="00161865">
            <w:pPr>
              <w:adjustRightInd/>
              <w:spacing w:after="0" w:line="240" w:lineRule="auto"/>
              <w:ind w:right="0"/>
              <w:rPr>
                <w:rFonts w:eastAsia="Times New Roman"/>
                <w:bCs/>
                <w:color w:val="000000"/>
                <w:lang w:val="en-GB" w:eastAsia="de-DE"/>
              </w:rPr>
            </w:pPr>
          </w:p>
          <w:p w14:paraId="529DCA77" w14:textId="59E48EBA" w:rsidR="00C57D72" w:rsidRPr="0058412C" w:rsidRDefault="00C57D72" w:rsidP="00161865">
            <w:p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Throughout the lifetime of the device concerned this report shall set out:</w:t>
            </w:r>
          </w:p>
          <w:p w14:paraId="02FDEC11" w14:textId="77777777" w:rsidR="00C57D72" w:rsidRDefault="00C57D72" w:rsidP="00161865">
            <w:pPr>
              <w:pStyle w:val="Listenabsatz"/>
              <w:numPr>
                <w:ilvl w:val="0"/>
                <w:numId w:val="12"/>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the conclusion of the benefit risk determination;</w:t>
            </w:r>
          </w:p>
          <w:p w14:paraId="2B3CD6D4" w14:textId="77777777" w:rsidR="00C57D72" w:rsidRDefault="00C57D72" w:rsidP="00161865">
            <w:pPr>
              <w:pStyle w:val="Listenabsatz"/>
              <w:numPr>
                <w:ilvl w:val="0"/>
                <w:numId w:val="12"/>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 xml:space="preserve"> the main findings of the Post Market Performance Follow-up Report and</w:t>
            </w:r>
            <w:r>
              <w:rPr>
                <w:rFonts w:eastAsia="Times New Roman"/>
                <w:bCs/>
                <w:color w:val="000000"/>
                <w:lang w:val="en-GB" w:eastAsia="de-DE"/>
              </w:rPr>
              <w:t xml:space="preserve"> </w:t>
            </w:r>
          </w:p>
          <w:p w14:paraId="13A542B5" w14:textId="77777777" w:rsidR="00C57D72" w:rsidRDefault="00C57D72" w:rsidP="00161865">
            <w:pPr>
              <w:pStyle w:val="Listenabsatz"/>
              <w:numPr>
                <w:ilvl w:val="0"/>
                <w:numId w:val="12"/>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the volume of sales of devices and an estimate of the population that use the device</w:t>
            </w:r>
          </w:p>
          <w:p w14:paraId="35403949" w14:textId="047EE85F" w:rsidR="00C57D72" w:rsidRPr="0058412C" w:rsidRDefault="00C57D72" w:rsidP="00161865">
            <w:pPr>
              <w:pStyle w:val="Listenabsatz"/>
              <w:numPr>
                <w:ilvl w:val="0"/>
                <w:numId w:val="12"/>
              </w:num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lastRenderedPageBreak/>
              <w:t>and, where practicable, the usage frequency of the device.</w:t>
            </w:r>
          </w:p>
          <w:p w14:paraId="0CFB71E3" w14:textId="77777777" w:rsidR="00C57D72" w:rsidRDefault="00C57D72" w:rsidP="00161865">
            <w:pPr>
              <w:adjustRightInd/>
              <w:spacing w:after="0" w:line="240" w:lineRule="auto"/>
              <w:ind w:right="0"/>
              <w:rPr>
                <w:rFonts w:eastAsia="Times New Roman"/>
                <w:bCs/>
                <w:color w:val="000000"/>
                <w:lang w:val="en-GB" w:eastAsia="de-DE"/>
              </w:rPr>
            </w:pPr>
          </w:p>
          <w:p w14:paraId="063E3AE6" w14:textId="254CC88A" w:rsidR="00C57D72" w:rsidRPr="00BB11A8" w:rsidRDefault="00C57D72" w:rsidP="00161865">
            <w:pPr>
              <w:adjustRightInd/>
              <w:spacing w:after="0" w:line="240" w:lineRule="auto"/>
              <w:ind w:right="0"/>
              <w:rPr>
                <w:rFonts w:eastAsia="Times New Roman"/>
                <w:bCs/>
                <w:color w:val="000000"/>
                <w:lang w:val="en-GB" w:eastAsia="de-DE"/>
              </w:rPr>
            </w:pPr>
            <w:r w:rsidRPr="0058412C">
              <w:rPr>
                <w:rFonts w:eastAsia="Times New Roman"/>
                <w:bCs/>
                <w:color w:val="000000"/>
                <w:lang w:val="en-GB" w:eastAsia="de-DE"/>
              </w:rPr>
              <w:t>Manufacturers of class C and D devices shall update the report at least annually and it shall be part of the technical documentation as specified in Annexes II and III.</w:t>
            </w:r>
          </w:p>
        </w:tc>
        <w:tc>
          <w:tcPr>
            <w:tcW w:w="1014" w:type="dxa"/>
            <w:shd w:val="clear" w:color="000000" w:fill="FFFFFF"/>
            <w:noWrap/>
            <w:vAlign w:val="center"/>
          </w:tcPr>
          <w:p w14:paraId="1C6643ED"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1A48A1AF"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24290B74" w14:textId="77777777" w:rsidR="00C57D72"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267B21BA" w14:textId="5A059B70" w:rsidR="00C57D72" w:rsidRDefault="00C57D72" w:rsidP="00161865">
            <w:pPr>
              <w:adjustRightInd/>
              <w:spacing w:after="0" w:line="240" w:lineRule="auto"/>
              <w:ind w:right="0"/>
              <w:rPr>
                <w:rFonts w:eastAsia="Times New Roman" w:cs="Calibri"/>
                <w:color w:val="000000"/>
                <w:lang w:val="en-GB" w:eastAsia="de-DE"/>
              </w:rPr>
            </w:pPr>
          </w:p>
          <w:p w14:paraId="3ED28990" w14:textId="77777777" w:rsidR="00C57D72" w:rsidRPr="00974425" w:rsidRDefault="00C57D72" w:rsidP="00161865">
            <w:pPr>
              <w:rPr>
                <w:rFonts w:eastAsia="Times New Roman" w:cs="Calibri"/>
                <w:lang w:val="en-GB" w:eastAsia="de-DE"/>
              </w:rPr>
            </w:pPr>
          </w:p>
          <w:p w14:paraId="0A9AC505" w14:textId="77777777" w:rsidR="00C57D72" w:rsidRPr="00974425" w:rsidRDefault="00C57D72" w:rsidP="00161865">
            <w:pPr>
              <w:rPr>
                <w:rFonts w:eastAsia="Times New Roman" w:cs="Calibri"/>
                <w:lang w:val="en-GB" w:eastAsia="de-DE"/>
              </w:rPr>
            </w:pPr>
          </w:p>
          <w:p w14:paraId="7E8CD3BA" w14:textId="77777777" w:rsidR="00C57D72" w:rsidRPr="00974425" w:rsidRDefault="00C57D72" w:rsidP="00161865">
            <w:pPr>
              <w:rPr>
                <w:rFonts w:eastAsia="Times New Roman" w:cs="Calibri"/>
                <w:lang w:val="en-GB" w:eastAsia="de-DE"/>
              </w:rPr>
            </w:pPr>
          </w:p>
          <w:p w14:paraId="4B312EC8" w14:textId="77777777" w:rsidR="00C57D72" w:rsidRDefault="00C57D72" w:rsidP="00161865">
            <w:pPr>
              <w:rPr>
                <w:rFonts w:eastAsia="Times New Roman" w:cs="Calibri"/>
                <w:color w:val="000000"/>
                <w:lang w:val="en-GB" w:eastAsia="de-DE"/>
              </w:rPr>
            </w:pPr>
          </w:p>
          <w:p w14:paraId="7DFD525C" w14:textId="77777777" w:rsidR="00C57D72" w:rsidRPr="00974425" w:rsidRDefault="00C57D72" w:rsidP="00161865">
            <w:pPr>
              <w:rPr>
                <w:rFonts w:eastAsia="Times New Roman" w:cs="Calibri"/>
                <w:lang w:val="en-GB" w:eastAsia="de-DE"/>
              </w:rPr>
            </w:pPr>
          </w:p>
          <w:p w14:paraId="0BA40434" w14:textId="77777777" w:rsidR="00C57D72" w:rsidRDefault="00C57D72" w:rsidP="00161865">
            <w:pPr>
              <w:rPr>
                <w:rFonts w:eastAsia="Times New Roman" w:cs="Calibri"/>
                <w:color w:val="000000"/>
                <w:lang w:val="en-GB" w:eastAsia="de-DE"/>
              </w:rPr>
            </w:pPr>
          </w:p>
          <w:p w14:paraId="363D6C51" w14:textId="77777777" w:rsidR="00C57D72" w:rsidRDefault="00C57D72" w:rsidP="00161865">
            <w:pPr>
              <w:rPr>
                <w:rFonts w:eastAsia="Times New Roman" w:cs="Calibri"/>
                <w:color w:val="000000"/>
                <w:lang w:val="en-GB" w:eastAsia="de-DE"/>
              </w:rPr>
            </w:pPr>
          </w:p>
          <w:p w14:paraId="6F6F6E18" w14:textId="2E420819" w:rsidR="00C57D72" w:rsidRPr="00974425" w:rsidRDefault="00C57D72" w:rsidP="00161865">
            <w:pPr>
              <w:rPr>
                <w:rFonts w:eastAsia="Times New Roman" w:cs="Calibri"/>
                <w:lang w:val="en-GB" w:eastAsia="de-DE"/>
              </w:rPr>
            </w:pPr>
          </w:p>
        </w:tc>
      </w:tr>
      <w:tr w:rsidR="00C57D72" w:rsidRPr="004B5366" w14:paraId="4497EC92" w14:textId="77777777" w:rsidTr="00161865">
        <w:trPr>
          <w:trHeight w:val="561"/>
        </w:trPr>
        <w:tc>
          <w:tcPr>
            <w:tcW w:w="715" w:type="dxa"/>
            <w:shd w:val="clear" w:color="auto" w:fill="EFF9FF"/>
            <w:noWrap/>
            <w:vAlign w:val="center"/>
          </w:tcPr>
          <w:p w14:paraId="57E11288" w14:textId="0E8D9467" w:rsidR="00C57D72" w:rsidRPr="00A0478D" w:rsidRDefault="00A20F28"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7</w:t>
            </w:r>
            <w:r w:rsidR="00C57D72" w:rsidRPr="00A0478D">
              <w:rPr>
                <w:rFonts w:eastAsia="Times New Roman" w:cs="Calibri"/>
                <w:b/>
                <w:bCs/>
                <w:color w:val="000000"/>
                <w:lang w:val="en-GB" w:eastAsia="de-DE"/>
              </w:rPr>
              <w:t>.</w:t>
            </w:r>
            <w:r>
              <w:rPr>
                <w:rFonts w:eastAsia="Times New Roman" w:cs="Calibri"/>
                <w:b/>
                <w:bCs/>
                <w:color w:val="000000"/>
                <w:lang w:val="en-GB" w:eastAsia="de-DE"/>
              </w:rPr>
              <w:t>3</w:t>
            </w:r>
          </w:p>
        </w:tc>
        <w:tc>
          <w:tcPr>
            <w:tcW w:w="4955" w:type="dxa"/>
            <w:shd w:val="clear" w:color="auto" w:fill="EFF9FF"/>
            <w:noWrap/>
            <w:vAlign w:val="center"/>
          </w:tcPr>
          <w:p w14:paraId="7090DA99" w14:textId="2836A2E3" w:rsidR="00C57D72" w:rsidRPr="00974425" w:rsidRDefault="00C57D72" w:rsidP="00161865">
            <w:pPr>
              <w:adjustRightInd/>
              <w:spacing w:after="0" w:line="240" w:lineRule="auto"/>
              <w:ind w:right="0"/>
              <w:rPr>
                <w:rFonts w:eastAsia="Times New Roman"/>
                <w:b/>
                <w:color w:val="000000"/>
                <w:lang w:val="en-GB" w:eastAsia="de-DE"/>
              </w:rPr>
            </w:pPr>
            <w:r w:rsidRPr="00974425">
              <w:rPr>
                <w:rFonts w:eastAsia="Times New Roman"/>
                <w:b/>
                <w:color w:val="000000"/>
                <w:lang w:val="en-GB" w:eastAsia="de-DE"/>
              </w:rPr>
              <w:t>Post Market Performance Follow-Up (PMPF)</w:t>
            </w:r>
          </w:p>
        </w:tc>
        <w:tc>
          <w:tcPr>
            <w:tcW w:w="1014" w:type="dxa"/>
            <w:shd w:val="clear" w:color="auto" w:fill="EFF9FF"/>
            <w:noWrap/>
            <w:vAlign w:val="center"/>
          </w:tcPr>
          <w:p w14:paraId="001F0EB4"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auto" w:fill="EFF9FF"/>
            <w:noWrap/>
            <w:vAlign w:val="center"/>
          </w:tcPr>
          <w:p w14:paraId="4283D141"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auto" w:fill="EFF9FF"/>
            <w:vAlign w:val="center"/>
          </w:tcPr>
          <w:p w14:paraId="562EF90A"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auto" w:fill="EFF9FF"/>
            <w:noWrap/>
            <w:vAlign w:val="center"/>
          </w:tcPr>
          <w:p w14:paraId="55FF777D" w14:textId="55A92CF8" w:rsidR="00C57D72" w:rsidRPr="004C3A94" w:rsidRDefault="00C57D72" w:rsidP="00161865">
            <w:pPr>
              <w:adjustRightInd/>
              <w:spacing w:after="0" w:line="240" w:lineRule="auto"/>
              <w:ind w:right="0"/>
              <w:rPr>
                <w:rFonts w:eastAsia="Times New Roman" w:cs="Calibri"/>
                <w:color w:val="000000"/>
                <w:lang w:val="en-GB" w:eastAsia="de-DE"/>
              </w:rPr>
            </w:pPr>
          </w:p>
        </w:tc>
      </w:tr>
      <w:tr w:rsidR="00A20F28" w:rsidRPr="00AF7A73" w14:paraId="754207A2" w14:textId="77777777" w:rsidTr="00161865">
        <w:trPr>
          <w:trHeight w:val="561"/>
        </w:trPr>
        <w:tc>
          <w:tcPr>
            <w:tcW w:w="715" w:type="dxa"/>
            <w:shd w:val="clear" w:color="000000" w:fill="FFFFFF"/>
            <w:noWrap/>
            <w:vAlign w:val="center"/>
          </w:tcPr>
          <w:p w14:paraId="714B7CFF" w14:textId="7AD6A486" w:rsidR="00A20F28" w:rsidRPr="00A0478D" w:rsidRDefault="00A20F28"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7.3.1</w:t>
            </w:r>
          </w:p>
        </w:tc>
        <w:tc>
          <w:tcPr>
            <w:tcW w:w="4955" w:type="dxa"/>
            <w:shd w:val="clear" w:color="000000" w:fill="FFFFFF"/>
            <w:noWrap/>
            <w:vAlign w:val="center"/>
          </w:tcPr>
          <w:p w14:paraId="78073A85" w14:textId="26E21942" w:rsidR="00A20F28" w:rsidRPr="00A20F28" w:rsidRDefault="00A20F28" w:rsidP="00161865">
            <w:pPr>
              <w:adjustRightInd/>
              <w:spacing w:after="0" w:line="240" w:lineRule="auto"/>
              <w:ind w:right="0"/>
              <w:rPr>
                <w:rFonts w:eastAsia="Times New Roman"/>
                <w:b/>
                <w:bCs/>
                <w:color w:val="000000"/>
                <w:lang w:val="en-GB" w:eastAsia="de-DE"/>
              </w:rPr>
            </w:pPr>
            <w:r w:rsidRPr="00A20F28">
              <w:rPr>
                <w:rFonts w:eastAsia="Times New Roman"/>
                <w:b/>
                <w:bCs/>
                <w:color w:val="000000"/>
                <w:lang w:val="en-GB" w:eastAsia="de-DE"/>
              </w:rPr>
              <w:t>PMPF Plan</w:t>
            </w:r>
          </w:p>
        </w:tc>
        <w:tc>
          <w:tcPr>
            <w:tcW w:w="1014" w:type="dxa"/>
            <w:shd w:val="clear" w:color="000000" w:fill="FFFFFF"/>
            <w:noWrap/>
            <w:vAlign w:val="center"/>
          </w:tcPr>
          <w:p w14:paraId="485CF222" w14:textId="77777777" w:rsidR="00A20F28" w:rsidRPr="004C3A94" w:rsidRDefault="00A20F28"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30C1D8E5" w14:textId="77777777" w:rsidR="00A20F28" w:rsidRPr="004C3A94" w:rsidRDefault="00A20F28"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17AA9B2A" w14:textId="77777777" w:rsidR="00A20F28" w:rsidRPr="004C3A94" w:rsidRDefault="00A20F28"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070F6929" w14:textId="77777777" w:rsidR="00A20F28" w:rsidRPr="004C3A94" w:rsidRDefault="00A20F28" w:rsidP="00161865">
            <w:pPr>
              <w:adjustRightInd/>
              <w:spacing w:after="0" w:line="240" w:lineRule="auto"/>
              <w:ind w:right="0"/>
              <w:rPr>
                <w:rFonts w:eastAsia="Times New Roman" w:cs="Calibri"/>
                <w:color w:val="000000"/>
                <w:lang w:val="en-GB" w:eastAsia="de-DE"/>
              </w:rPr>
            </w:pPr>
          </w:p>
        </w:tc>
      </w:tr>
      <w:tr w:rsidR="00A20F28" w:rsidRPr="00AF7A73" w14:paraId="46FB7FA7" w14:textId="77777777" w:rsidTr="00161865">
        <w:trPr>
          <w:trHeight w:val="561"/>
        </w:trPr>
        <w:tc>
          <w:tcPr>
            <w:tcW w:w="715" w:type="dxa"/>
            <w:shd w:val="clear" w:color="000000" w:fill="FFFFFF"/>
            <w:noWrap/>
            <w:vAlign w:val="center"/>
          </w:tcPr>
          <w:p w14:paraId="71D3C220" w14:textId="77777777" w:rsidR="00A20F28" w:rsidRPr="00A0478D" w:rsidRDefault="00A20F28"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41C16E60" w14:textId="77777777" w:rsidR="00A20F28" w:rsidRDefault="00A22CB3" w:rsidP="00161865">
            <w:p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The PMPF plan shall specify the methods and procedures for proactively collecting and evaluating safety, performance and scientific data with the aim of:</w:t>
            </w:r>
          </w:p>
          <w:p w14:paraId="51578441" w14:textId="77777777" w:rsidR="00A22CB3" w:rsidRDefault="00A22CB3" w:rsidP="00161865">
            <w:pPr>
              <w:pStyle w:val="Listenabsatz"/>
              <w:numPr>
                <w:ilvl w:val="0"/>
                <w:numId w:val="24"/>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confirming the safety and performance of the device throughout its expected lifetime,</w:t>
            </w:r>
          </w:p>
          <w:p w14:paraId="6754007A" w14:textId="77777777" w:rsidR="00A22CB3" w:rsidRDefault="00A22CB3" w:rsidP="00161865">
            <w:pPr>
              <w:pStyle w:val="Listenabsatz"/>
              <w:numPr>
                <w:ilvl w:val="0"/>
                <w:numId w:val="24"/>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identifying previously unknown risks or limits to performance and contra-indications,</w:t>
            </w:r>
          </w:p>
          <w:p w14:paraId="76374ABE" w14:textId="77777777" w:rsidR="00A22CB3" w:rsidRDefault="00A22CB3" w:rsidP="00161865">
            <w:pPr>
              <w:pStyle w:val="Listenabsatz"/>
              <w:numPr>
                <w:ilvl w:val="0"/>
                <w:numId w:val="24"/>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identifying and analysing emergent risks on the basis of factual evidence,</w:t>
            </w:r>
          </w:p>
          <w:p w14:paraId="5A2884D8" w14:textId="2D6A13D5" w:rsidR="00A22CB3" w:rsidRDefault="00A22CB3" w:rsidP="00161865">
            <w:pPr>
              <w:pStyle w:val="Listenabsatz"/>
              <w:numPr>
                <w:ilvl w:val="0"/>
                <w:numId w:val="24"/>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ensuring the continued acceptability of the clinical evidence and of the benefit-risk ratio and</w:t>
            </w:r>
          </w:p>
          <w:p w14:paraId="63CB2AC7" w14:textId="5F7D41F6" w:rsidR="00A22CB3" w:rsidRPr="00974425" w:rsidRDefault="00A22CB3" w:rsidP="00161865">
            <w:pPr>
              <w:pStyle w:val="Listenabsatz"/>
              <w:numPr>
                <w:ilvl w:val="0"/>
                <w:numId w:val="24"/>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identifying possible systematic misuse.</w:t>
            </w:r>
          </w:p>
        </w:tc>
        <w:tc>
          <w:tcPr>
            <w:tcW w:w="1014" w:type="dxa"/>
            <w:shd w:val="clear" w:color="000000" w:fill="FFFFFF"/>
            <w:noWrap/>
            <w:vAlign w:val="center"/>
          </w:tcPr>
          <w:p w14:paraId="0434F687" w14:textId="77777777" w:rsidR="00A20F28" w:rsidRPr="004C3A94" w:rsidRDefault="00A20F28"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7EE25189" w14:textId="77777777" w:rsidR="00A20F28" w:rsidRPr="004C3A94" w:rsidRDefault="00A20F28"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4B5EF353" w14:textId="77777777" w:rsidR="00A20F28" w:rsidRPr="004C3A94" w:rsidRDefault="00A20F28"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14A9890D" w14:textId="77777777" w:rsidR="00A20F28" w:rsidRPr="004C3A94" w:rsidRDefault="00A20F28" w:rsidP="00161865">
            <w:pPr>
              <w:adjustRightInd/>
              <w:spacing w:after="0" w:line="240" w:lineRule="auto"/>
              <w:ind w:right="0"/>
              <w:rPr>
                <w:rFonts w:eastAsia="Times New Roman" w:cs="Calibri"/>
                <w:color w:val="000000"/>
                <w:lang w:val="en-GB" w:eastAsia="de-DE"/>
              </w:rPr>
            </w:pPr>
          </w:p>
        </w:tc>
      </w:tr>
      <w:tr w:rsidR="00A22CB3" w:rsidRPr="004B5366" w14:paraId="5445AAC8" w14:textId="77777777" w:rsidTr="00161865">
        <w:trPr>
          <w:trHeight w:val="561"/>
        </w:trPr>
        <w:tc>
          <w:tcPr>
            <w:tcW w:w="715" w:type="dxa"/>
            <w:shd w:val="clear" w:color="000000" w:fill="FFFFFF"/>
            <w:noWrap/>
            <w:vAlign w:val="center"/>
          </w:tcPr>
          <w:p w14:paraId="5B1367A9" w14:textId="77777777" w:rsidR="00A22CB3" w:rsidRDefault="00A22CB3"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72A8AD5C" w14:textId="77777777" w:rsidR="00A22CB3" w:rsidRDefault="00A22CB3" w:rsidP="00161865">
            <w:p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The PMPF plan shall include at least:</w:t>
            </w:r>
          </w:p>
          <w:p w14:paraId="459F06C4" w14:textId="77777777" w:rsidR="00A22CB3" w:rsidRPr="00A22CB3" w:rsidRDefault="00A22CB3" w:rsidP="00161865">
            <w:pPr>
              <w:adjustRightInd/>
              <w:spacing w:after="0" w:line="240" w:lineRule="auto"/>
              <w:ind w:right="0"/>
              <w:rPr>
                <w:rFonts w:eastAsia="Times New Roman"/>
                <w:bCs/>
                <w:color w:val="000000"/>
                <w:lang w:val="en-GB" w:eastAsia="de-DE"/>
              </w:rPr>
            </w:pPr>
          </w:p>
          <w:p w14:paraId="1097215D" w14:textId="77777777" w:rsidR="00A22CB3" w:rsidRDefault="00A22CB3" w:rsidP="00161865">
            <w:pPr>
              <w:pStyle w:val="Listenabsatz"/>
              <w:numPr>
                <w:ilvl w:val="0"/>
                <w:numId w:val="25"/>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 xml:space="preserve">the general methods and procedures of the PMPF to be applied, such as gathering of clinical experience gained, feedback from users, screening of scientific </w:t>
            </w:r>
            <w:r w:rsidRPr="00A22CB3">
              <w:rPr>
                <w:rFonts w:eastAsia="Times New Roman"/>
                <w:bCs/>
                <w:color w:val="000000"/>
                <w:lang w:val="en-GB" w:eastAsia="de-DE"/>
              </w:rPr>
              <w:lastRenderedPageBreak/>
              <w:t>literature and of other sources of performance or scientific data;</w:t>
            </w:r>
          </w:p>
          <w:p w14:paraId="6A918293" w14:textId="77777777" w:rsidR="00A22CB3" w:rsidRDefault="00A22CB3" w:rsidP="00161865">
            <w:pPr>
              <w:pStyle w:val="Listenabsatz"/>
              <w:numPr>
                <w:ilvl w:val="0"/>
                <w:numId w:val="25"/>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the specific methods and procedures of PMPF to be applied, such as ring trials and other quality assurance activities, epidemiological studies, evaluation of suitable patient or disease registers, genetic databanks or post-market clinical performance studies;</w:t>
            </w:r>
          </w:p>
          <w:p w14:paraId="76F73D43" w14:textId="5FBA0619" w:rsidR="00A22CB3" w:rsidRDefault="00A22CB3" w:rsidP="00161865">
            <w:pPr>
              <w:pStyle w:val="Listenabsatz"/>
              <w:numPr>
                <w:ilvl w:val="0"/>
                <w:numId w:val="25"/>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 xml:space="preserve">a rationale for the appropriateness of the methods and procedures </w:t>
            </w:r>
            <w:r>
              <w:rPr>
                <w:rFonts w:eastAsia="Times New Roman"/>
                <w:bCs/>
                <w:color w:val="000000"/>
                <w:lang w:val="en-GB" w:eastAsia="de-DE"/>
              </w:rPr>
              <w:t>mentioned above</w:t>
            </w:r>
          </w:p>
          <w:p w14:paraId="0CF59BE0" w14:textId="77777777" w:rsidR="00A22CB3" w:rsidRDefault="00A22CB3" w:rsidP="00161865">
            <w:pPr>
              <w:pStyle w:val="Listenabsatz"/>
              <w:numPr>
                <w:ilvl w:val="0"/>
                <w:numId w:val="25"/>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a reference to the relevant parts of the performance evaluation report and to the risk management</w:t>
            </w:r>
          </w:p>
          <w:p w14:paraId="15174C4A" w14:textId="77777777" w:rsidR="00A22CB3" w:rsidRDefault="00A22CB3" w:rsidP="00161865">
            <w:pPr>
              <w:pStyle w:val="Listenabsatz"/>
              <w:numPr>
                <w:ilvl w:val="0"/>
                <w:numId w:val="25"/>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the specific objectives to be addressed by the PMPF</w:t>
            </w:r>
          </w:p>
          <w:p w14:paraId="28C9A1EA" w14:textId="77777777" w:rsidR="00A22CB3" w:rsidRDefault="00A22CB3" w:rsidP="00161865">
            <w:pPr>
              <w:pStyle w:val="Listenabsatz"/>
              <w:numPr>
                <w:ilvl w:val="0"/>
                <w:numId w:val="25"/>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an evaluation of the performance data relating to equivalent or similar devices, and the current state of the art;</w:t>
            </w:r>
          </w:p>
          <w:p w14:paraId="7BB75AD0" w14:textId="77777777" w:rsidR="00A22CB3" w:rsidRDefault="00A22CB3" w:rsidP="00161865">
            <w:pPr>
              <w:pStyle w:val="Listenabsatz"/>
              <w:numPr>
                <w:ilvl w:val="0"/>
                <w:numId w:val="25"/>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reference to any relevant CS, harmonised standards when used by the manufacturer, and relevant guidance on PMPF, and;</w:t>
            </w:r>
          </w:p>
          <w:p w14:paraId="127CB5AF" w14:textId="2EA37E17" w:rsidR="00A22CB3" w:rsidRDefault="00A22CB3" w:rsidP="00161865">
            <w:pPr>
              <w:pStyle w:val="Listenabsatz"/>
              <w:numPr>
                <w:ilvl w:val="0"/>
                <w:numId w:val="25"/>
              </w:num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a detailed and adequately justified time schedule for PMPF activities, such as analysis of PMPF data and reporting, to be undertaken by the manufacturer.</w:t>
            </w:r>
          </w:p>
        </w:tc>
        <w:tc>
          <w:tcPr>
            <w:tcW w:w="1014" w:type="dxa"/>
            <w:shd w:val="clear" w:color="000000" w:fill="FFFFFF"/>
            <w:noWrap/>
            <w:vAlign w:val="center"/>
          </w:tcPr>
          <w:p w14:paraId="5552B4A5" w14:textId="77777777" w:rsidR="00A22CB3" w:rsidRPr="004C3A94" w:rsidRDefault="00A22CB3"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0E8EF03" w14:textId="77777777" w:rsidR="00A22CB3" w:rsidRPr="004C3A94" w:rsidRDefault="00A22CB3"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63263475" w14:textId="77777777" w:rsidR="00A22CB3" w:rsidRPr="004C3A94" w:rsidRDefault="00A22CB3"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4BB75BB2" w14:textId="77777777" w:rsidR="00A22CB3" w:rsidRPr="004C3A94" w:rsidRDefault="00A22CB3" w:rsidP="00161865">
            <w:pPr>
              <w:adjustRightInd/>
              <w:spacing w:after="0" w:line="240" w:lineRule="auto"/>
              <w:ind w:right="0"/>
              <w:rPr>
                <w:rFonts w:eastAsia="Times New Roman" w:cs="Calibri"/>
                <w:color w:val="000000"/>
                <w:lang w:val="en-GB" w:eastAsia="de-DE"/>
              </w:rPr>
            </w:pPr>
          </w:p>
        </w:tc>
      </w:tr>
      <w:tr w:rsidR="00A20F28" w:rsidRPr="00AF7A73" w14:paraId="0CF595ED" w14:textId="77777777" w:rsidTr="00161865">
        <w:trPr>
          <w:trHeight w:val="561"/>
        </w:trPr>
        <w:tc>
          <w:tcPr>
            <w:tcW w:w="715" w:type="dxa"/>
            <w:shd w:val="clear" w:color="000000" w:fill="FFFFFF"/>
            <w:noWrap/>
            <w:vAlign w:val="center"/>
          </w:tcPr>
          <w:p w14:paraId="037C36D6" w14:textId="3B8F00AE" w:rsidR="00A20F28" w:rsidRPr="00A0478D" w:rsidRDefault="00A20F28"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7.3.2</w:t>
            </w:r>
          </w:p>
        </w:tc>
        <w:tc>
          <w:tcPr>
            <w:tcW w:w="4955" w:type="dxa"/>
            <w:shd w:val="clear" w:color="000000" w:fill="FFFFFF"/>
            <w:noWrap/>
            <w:vAlign w:val="center"/>
          </w:tcPr>
          <w:p w14:paraId="4F505BF3" w14:textId="56CDE854" w:rsidR="00A20F28" w:rsidRPr="00A22CB3" w:rsidRDefault="00A20F28" w:rsidP="00161865">
            <w:pPr>
              <w:adjustRightInd/>
              <w:spacing w:after="0" w:line="240" w:lineRule="auto"/>
              <w:ind w:right="0"/>
              <w:rPr>
                <w:rFonts w:eastAsia="Times New Roman"/>
                <w:b/>
                <w:color w:val="000000"/>
                <w:lang w:val="en-GB" w:eastAsia="de-DE"/>
              </w:rPr>
            </w:pPr>
            <w:r w:rsidRPr="00A22CB3">
              <w:rPr>
                <w:rFonts w:eastAsia="Times New Roman"/>
                <w:b/>
                <w:color w:val="000000"/>
                <w:lang w:val="en-GB" w:eastAsia="de-DE"/>
              </w:rPr>
              <w:t xml:space="preserve">PMPF </w:t>
            </w:r>
            <w:r w:rsidR="00A22CB3" w:rsidRPr="00A22CB3">
              <w:rPr>
                <w:rFonts w:eastAsia="Times New Roman"/>
                <w:b/>
                <w:color w:val="000000"/>
                <w:lang w:val="en-GB" w:eastAsia="de-DE"/>
              </w:rPr>
              <w:t xml:space="preserve">Evaluation </w:t>
            </w:r>
            <w:r w:rsidRPr="00A22CB3">
              <w:rPr>
                <w:rFonts w:eastAsia="Times New Roman"/>
                <w:b/>
                <w:color w:val="000000"/>
                <w:lang w:val="en-GB" w:eastAsia="de-DE"/>
              </w:rPr>
              <w:t>Report</w:t>
            </w:r>
          </w:p>
        </w:tc>
        <w:tc>
          <w:tcPr>
            <w:tcW w:w="1014" w:type="dxa"/>
            <w:shd w:val="clear" w:color="000000" w:fill="FFFFFF"/>
            <w:noWrap/>
            <w:vAlign w:val="center"/>
          </w:tcPr>
          <w:p w14:paraId="58E4598F" w14:textId="77777777" w:rsidR="00A20F28" w:rsidRPr="004C3A94" w:rsidRDefault="00A20F28"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4B4CAC73" w14:textId="77777777" w:rsidR="00A20F28" w:rsidRPr="004C3A94" w:rsidRDefault="00A20F28"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57808806" w14:textId="77777777" w:rsidR="00A20F28" w:rsidRPr="004C3A94" w:rsidRDefault="00A20F28"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8EF3C9F" w14:textId="77777777" w:rsidR="00A20F28" w:rsidRPr="004C3A94" w:rsidRDefault="00A20F28" w:rsidP="00161865">
            <w:pPr>
              <w:adjustRightInd/>
              <w:spacing w:after="0" w:line="240" w:lineRule="auto"/>
              <w:ind w:right="0"/>
              <w:rPr>
                <w:rFonts w:eastAsia="Times New Roman" w:cs="Calibri"/>
                <w:color w:val="000000"/>
                <w:lang w:val="en-GB" w:eastAsia="de-DE"/>
              </w:rPr>
            </w:pPr>
          </w:p>
        </w:tc>
      </w:tr>
      <w:tr w:rsidR="00C57D72" w:rsidRPr="004B5366" w14:paraId="1C853E88" w14:textId="77777777" w:rsidTr="00161865">
        <w:trPr>
          <w:trHeight w:val="561"/>
        </w:trPr>
        <w:tc>
          <w:tcPr>
            <w:tcW w:w="715" w:type="dxa"/>
            <w:shd w:val="clear" w:color="000000" w:fill="FFFFFF"/>
            <w:noWrap/>
            <w:vAlign w:val="center"/>
          </w:tcPr>
          <w:p w14:paraId="25BE18E2"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53A44009" w14:textId="0020FE0C" w:rsidR="00C57D72" w:rsidRPr="00974425" w:rsidRDefault="00C57D72" w:rsidP="00161865">
            <w:pPr>
              <w:adjustRightInd/>
              <w:spacing w:after="0" w:line="240" w:lineRule="auto"/>
              <w:ind w:right="0"/>
              <w:rPr>
                <w:rFonts w:eastAsia="Times New Roman"/>
                <w:bCs/>
                <w:color w:val="000000"/>
                <w:lang w:val="en-GB" w:eastAsia="de-DE"/>
              </w:rPr>
            </w:pPr>
            <w:r w:rsidRPr="00974425">
              <w:rPr>
                <w:rFonts w:eastAsia="Times New Roman"/>
                <w:bCs/>
                <w:color w:val="000000"/>
                <w:lang w:val="en-GB" w:eastAsia="de-DE"/>
              </w:rPr>
              <w:t xml:space="preserve">PMPF Evaluation reports analysing and concluding results of activities performed according to the PMPF plan shall be part of the Technical Documentation. </w:t>
            </w:r>
          </w:p>
          <w:p w14:paraId="08CD5798" w14:textId="0B5FAF73" w:rsidR="00C57D72" w:rsidRPr="0058412C" w:rsidRDefault="00C57D72" w:rsidP="00161865">
            <w:pPr>
              <w:adjustRightInd/>
              <w:spacing w:after="0" w:line="240" w:lineRule="auto"/>
              <w:ind w:right="0"/>
              <w:rPr>
                <w:rFonts w:eastAsia="Times New Roman"/>
                <w:bCs/>
                <w:color w:val="000000"/>
                <w:lang w:val="en-GB" w:eastAsia="de-DE"/>
              </w:rPr>
            </w:pPr>
            <w:r w:rsidRPr="00974425">
              <w:rPr>
                <w:rFonts w:eastAsia="Times New Roman"/>
                <w:bCs/>
                <w:color w:val="000000"/>
                <w:lang w:val="en-GB" w:eastAsia="de-DE"/>
              </w:rPr>
              <w:t xml:space="preserve">It should include. at least items according to Annex XIII part B 5.2. Conclusions of the PMPF evaluation reports shall be taken into account for the performance evaluation </w:t>
            </w:r>
            <w:r w:rsidRPr="00974425">
              <w:rPr>
                <w:rFonts w:eastAsia="Times New Roman"/>
                <w:bCs/>
                <w:color w:val="000000"/>
                <w:lang w:val="en-GB" w:eastAsia="de-DE"/>
              </w:rPr>
              <w:lastRenderedPageBreak/>
              <w:t>and in the risk management. Performance evaluation report shall be updated as per the PMPF plan.</w:t>
            </w:r>
          </w:p>
        </w:tc>
        <w:tc>
          <w:tcPr>
            <w:tcW w:w="1014" w:type="dxa"/>
            <w:shd w:val="clear" w:color="000000" w:fill="FFFFFF"/>
            <w:noWrap/>
            <w:vAlign w:val="center"/>
          </w:tcPr>
          <w:p w14:paraId="48A60C41"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2530EFA2"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30B1E496"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6165E168" w14:textId="6314D164" w:rsidR="00C57D72" w:rsidRPr="004C3A94" w:rsidRDefault="00C57D72" w:rsidP="00161865">
            <w:pPr>
              <w:adjustRightInd/>
              <w:spacing w:after="0" w:line="240" w:lineRule="auto"/>
              <w:ind w:right="0"/>
              <w:rPr>
                <w:rFonts w:eastAsia="Times New Roman" w:cs="Calibri"/>
                <w:color w:val="000000"/>
                <w:lang w:val="en-GB" w:eastAsia="de-DE"/>
              </w:rPr>
            </w:pPr>
          </w:p>
        </w:tc>
      </w:tr>
      <w:tr w:rsidR="00C57D72" w:rsidRPr="004B5366" w14:paraId="0A0F1125" w14:textId="77777777" w:rsidTr="00161865">
        <w:trPr>
          <w:trHeight w:val="561"/>
        </w:trPr>
        <w:tc>
          <w:tcPr>
            <w:tcW w:w="715" w:type="dxa"/>
            <w:shd w:val="clear" w:color="auto" w:fill="CCECFF"/>
            <w:noWrap/>
            <w:vAlign w:val="center"/>
          </w:tcPr>
          <w:p w14:paraId="740FF8C3" w14:textId="427CADD2" w:rsidR="00C57D72" w:rsidRPr="00A0478D" w:rsidRDefault="00A22CB3" w:rsidP="00161865">
            <w:pPr>
              <w:adjustRightInd/>
              <w:spacing w:after="0" w:line="240" w:lineRule="auto"/>
              <w:ind w:right="0"/>
              <w:rPr>
                <w:rFonts w:eastAsia="Times New Roman" w:cs="Calibri"/>
                <w:b/>
                <w:bCs/>
                <w:color w:val="000000"/>
                <w:lang w:val="en-GB" w:eastAsia="de-DE"/>
              </w:rPr>
            </w:pPr>
            <w:r>
              <w:rPr>
                <w:rFonts w:eastAsia="Times New Roman" w:cs="Calibri"/>
                <w:b/>
                <w:bCs/>
                <w:color w:val="000000"/>
                <w:lang w:val="en-GB" w:eastAsia="de-DE"/>
              </w:rPr>
              <w:t>8</w:t>
            </w:r>
            <w:r w:rsidR="00C57D72">
              <w:rPr>
                <w:rFonts w:eastAsia="Times New Roman" w:cs="Calibri"/>
                <w:b/>
                <w:bCs/>
                <w:color w:val="000000"/>
                <w:lang w:val="en-GB" w:eastAsia="de-DE"/>
              </w:rPr>
              <w:t>.</w:t>
            </w:r>
          </w:p>
        </w:tc>
        <w:tc>
          <w:tcPr>
            <w:tcW w:w="13318" w:type="dxa"/>
            <w:gridSpan w:val="5"/>
            <w:shd w:val="clear" w:color="auto" w:fill="CCECFF"/>
            <w:vAlign w:val="center"/>
          </w:tcPr>
          <w:p w14:paraId="3F9674E3" w14:textId="339B209D" w:rsidR="00C57D72" w:rsidRPr="004C3A94" w:rsidRDefault="00C57D72" w:rsidP="00161865">
            <w:pPr>
              <w:adjustRightInd/>
              <w:spacing w:after="0" w:line="240" w:lineRule="auto"/>
              <w:ind w:right="0"/>
              <w:rPr>
                <w:rFonts w:eastAsia="Times New Roman" w:cs="Calibri"/>
                <w:color w:val="000000"/>
                <w:lang w:val="en-GB" w:eastAsia="de-DE"/>
              </w:rPr>
            </w:pPr>
            <w:r w:rsidRPr="00974425">
              <w:rPr>
                <w:rFonts w:eastAsia="Times New Roman"/>
                <w:b/>
                <w:color w:val="000000"/>
                <w:lang w:val="en-GB" w:eastAsia="de-DE"/>
              </w:rPr>
              <w:t>Proposed Perimeters for Products Verification Program (only class D devices)</w:t>
            </w:r>
          </w:p>
        </w:tc>
      </w:tr>
      <w:tr w:rsidR="00C57D72" w:rsidRPr="004B5366" w14:paraId="3AA45D3E" w14:textId="77777777" w:rsidTr="00161865">
        <w:trPr>
          <w:trHeight w:val="561"/>
        </w:trPr>
        <w:tc>
          <w:tcPr>
            <w:tcW w:w="715" w:type="dxa"/>
            <w:shd w:val="clear" w:color="000000" w:fill="FFFFFF"/>
            <w:noWrap/>
            <w:vAlign w:val="center"/>
          </w:tcPr>
          <w:p w14:paraId="690890A5" w14:textId="77777777" w:rsidR="00C57D72" w:rsidRPr="00A0478D" w:rsidRDefault="00C57D72" w:rsidP="00161865">
            <w:pPr>
              <w:adjustRightInd/>
              <w:spacing w:after="0" w:line="240" w:lineRule="auto"/>
              <w:ind w:right="0"/>
              <w:rPr>
                <w:rFonts w:eastAsia="Times New Roman" w:cs="Calibri"/>
                <w:b/>
                <w:bCs/>
                <w:color w:val="000000"/>
                <w:lang w:val="en-GB" w:eastAsia="de-DE"/>
              </w:rPr>
            </w:pPr>
          </w:p>
        </w:tc>
        <w:tc>
          <w:tcPr>
            <w:tcW w:w="4955" w:type="dxa"/>
            <w:shd w:val="clear" w:color="000000" w:fill="FFFFFF"/>
            <w:noWrap/>
            <w:vAlign w:val="center"/>
          </w:tcPr>
          <w:p w14:paraId="616FFD19" w14:textId="77777777" w:rsidR="00C57D72" w:rsidRDefault="00C57D72" w:rsidP="00161865">
            <w:pPr>
              <w:adjustRightInd/>
              <w:spacing w:after="0" w:line="240" w:lineRule="auto"/>
              <w:ind w:right="0"/>
              <w:rPr>
                <w:rFonts w:eastAsia="Times New Roman"/>
                <w:bCs/>
                <w:color w:val="000000"/>
                <w:lang w:val="en-GB" w:eastAsia="de-DE"/>
              </w:rPr>
            </w:pPr>
            <w:r w:rsidRPr="00974425">
              <w:rPr>
                <w:rFonts w:eastAsia="Times New Roman"/>
                <w:bCs/>
                <w:color w:val="000000"/>
                <w:lang w:val="en-GB" w:eastAsia="de-DE"/>
              </w:rPr>
              <w:t>Description of the final Quality Control release testing protocol (specification of samples / panels used, final release criteria). The information must match with the document provided to the Notified Body with the request to release the respective batch of class D product.</w:t>
            </w:r>
          </w:p>
          <w:p w14:paraId="08A205F4" w14:textId="54EAE43A" w:rsidR="00A22CB3" w:rsidRPr="0058412C" w:rsidRDefault="00A22CB3" w:rsidP="00161865">
            <w:pPr>
              <w:adjustRightInd/>
              <w:spacing w:after="0" w:line="240" w:lineRule="auto"/>
              <w:ind w:right="0"/>
              <w:rPr>
                <w:rFonts w:eastAsia="Times New Roman"/>
                <w:bCs/>
                <w:color w:val="000000"/>
                <w:lang w:val="en-GB" w:eastAsia="de-DE"/>
              </w:rPr>
            </w:pPr>
            <w:r w:rsidRPr="00A22CB3">
              <w:rPr>
                <w:rFonts w:eastAsia="Times New Roman"/>
                <w:bCs/>
                <w:color w:val="000000"/>
                <w:lang w:val="en-GB" w:eastAsia="de-DE"/>
              </w:rPr>
              <w:t>Documentation of consultation procedures (e.g., with the competent medicinal authority, reference laborator</w:t>
            </w:r>
            <w:r>
              <w:rPr>
                <w:rFonts w:eastAsia="Times New Roman"/>
                <w:bCs/>
                <w:color w:val="000000"/>
                <w:lang w:val="en-GB" w:eastAsia="de-DE"/>
              </w:rPr>
              <w:t xml:space="preserve">ies </w:t>
            </w:r>
            <w:r w:rsidRPr="00A22CB3">
              <w:rPr>
                <w:rFonts w:eastAsia="Times New Roman"/>
                <w:bCs/>
                <w:color w:val="000000"/>
                <w:lang w:val="en-GB" w:eastAsia="de-DE"/>
              </w:rPr>
              <w:t>or other expert bodies).</w:t>
            </w:r>
          </w:p>
        </w:tc>
        <w:tc>
          <w:tcPr>
            <w:tcW w:w="1014" w:type="dxa"/>
            <w:shd w:val="clear" w:color="000000" w:fill="FFFFFF"/>
            <w:noWrap/>
            <w:vAlign w:val="center"/>
          </w:tcPr>
          <w:p w14:paraId="4ACB065B"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971" w:type="dxa"/>
            <w:shd w:val="clear" w:color="000000" w:fill="FFFFFF"/>
            <w:noWrap/>
            <w:vAlign w:val="center"/>
          </w:tcPr>
          <w:p w14:paraId="69BFAB0C" w14:textId="77777777" w:rsidR="00C57D72" w:rsidRPr="004C3A94" w:rsidRDefault="00C57D72" w:rsidP="00161865">
            <w:pPr>
              <w:adjustRightInd/>
              <w:spacing w:after="0" w:line="240" w:lineRule="auto"/>
              <w:ind w:right="0"/>
              <w:jc w:val="center"/>
              <w:rPr>
                <w:rFonts w:eastAsia="Times New Roman" w:cs="Calibri"/>
                <w:color w:val="000000"/>
                <w:lang w:val="en-GB" w:eastAsia="de-DE"/>
              </w:rPr>
            </w:pPr>
          </w:p>
        </w:tc>
        <w:tc>
          <w:tcPr>
            <w:tcW w:w="1984" w:type="dxa"/>
            <w:shd w:val="clear" w:color="000000" w:fill="FFFFFF"/>
            <w:vAlign w:val="center"/>
          </w:tcPr>
          <w:p w14:paraId="7612285F" w14:textId="77777777" w:rsidR="00C57D72" w:rsidRPr="004C3A94" w:rsidRDefault="00C57D72" w:rsidP="00161865">
            <w:pPr>
              <w:adjustRightInd/>
              <w:spacing w:after="0" w:line="240" w:lineRule="auto"/>
              <w:ind w:right="0"/>
              <w:rPr>
                <w:rFonts w:eastAsia="Times New Roman" w:cs="Calibri"/>
                <w:color w:val="000000"/>
                <w:lang w:val="en-GB" w:eastAsia="de-DE"/>
              </w:rPr>
            </w:pPr>
          </w:p>
        </w:tc>
        <w:tc>
          <w:tcPr>
            <w:tcW w:w="4394" w:type="dxa"/>
            <w:shd w:val="clear" w:color="000000" w:fill="FFFFFF"/>
            <w:noWrap/>
            <w:vAlign w:val="center"/>
          </w:tcPr>
          <w:p w14:paraId="7911CAF7" w14:textId="49845DE0" w:rsidR="00C57D72" w:rsidRPr="004C3A94" w:rsidRDefault="00C57D72" w:rsidP="00161865">
            <w:pPr>
              <w:adjustRightInd/>
              <w:spacing w:after="0" w:line="240" w:lineRule="auto"/>
              <w:ind w:right="0"/>
              <w:rPr>
                <w:rFonts w:eastAsia="Times New Roman" w:cs="Calibri"/>
                <w:color w:val="000000"/>
                <w:lang w:val="en-GB" w:eastAsia="de-DE"/>
              </w:rPr>
            </w:pPr>
          </w:p>
        </w:tc>
      </w:tr>
    </w:tbl>
    <w:p w14:paraId="61F2C960" w14:textId="69BB9B7E" w:rsidR="009338B9" w:rsidRPr="004C3A94" w:rsidRDefault="000E4D51" w:rsidP="00DE1392">
      <w:pPr>
        <w:rPr>
          <w:lang w:val="en-GB"/>
        </w:rPr>
      </w:pPr>
      <w:r>
        <w:rPr>
          <w:lang w:val="en-GB"/>
        </w:rPr>
        <w:br w:type="textWrapping" w:clear="all"/>
      </w:r>
    </w:p>
    <w:sectPr w:rsidR="009338B9" w:rsidRPr="004C3A94" w:rsidSect="004B5366">
      <w:headerReference w:type="default" r:id="rId8"/>
      <w:footerReference w:type="even" r:id="rId9"/>
      <w:footerReference w:type="default" r:id="rId10"/>
      <w:headerReference w:type="first" r:id="rId11"/>
      <w:footerReference w:type="first" r:id="rId12"/>
      <w:pgSz w:w="16817" w:h="11901" w:orient="landscape"/>
      <w:pgMar w:top="1134" w:right="2835" w:bottom="1418" w:left="1701" w:header="907" w:footer="17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202C" w14:textId="77777777" w:rsidR="00886520" w:rsidRDefault="00886520" w:rsidP="004F6180">
      <w:r>
        <w:separator/>
      </w:r>
    </w:p>
  </w:endnote>
  <w:endnote w:type="continuationSeparator" w:id="0">
    <w:p w14:paraId="7A8A7F86" w14:textId="77777777" w:rsidR="00886520" w:rsidRDefault="00886520" w:rsidP="004F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4A71" w14:textId="77777777" w:rsidR="006656D8" w:rsidRDefault="006656D8" w:rsidP="004F6180">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15C8B493" w14:textId="7CDB9BCF" w:rsidR="00050D1B" w:rsidRDefault="00050D1B" w:rsidP="004F6180">
    <w:pPr>
      <w:pStyle w:val="Fuzeile"/>
      <w:rPr>
        <w:rStyle w:val="Seitenzahl"/>
      </w:rPr>
    </w:pPr>
  </w:p>
  <w:p w14:paraId="4FC424DF" w14:textId="77777777" w:rsidR="00050D1B" w:rsidRDefault="00050D1B" w:rsidP="004F61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716" w:type="pct"/>
      <w:tblBorders>
        <w:top w:val="single" w:sz="4" w:space="0" w:color="4B55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4"/>
      <w:gridCol w:w="1276"/>
    </w:tblGrid>
    <w:tr w:rsidR="004B5366" w14:paraId="4841478C" w14:textId="77777777" w:rsidTr="004B5366">
      <w:trPr>
        <w:trHeight w:val="234"/>
      </w:trPr>
      <w:tc>
        <w:tcPr>
          <w:tcW w:w="12763" w:type="dxa"/>
          <w:vAlign w:val="center"/>
        </w:tcPr>
        <w:p w14:paraId="2C0F1B9F" w14:textId="77777777" w:rsidR="004B5366" w:rsidRPr="001350A8" w:rsidRDefault="004B5366" w:rsidP="004B5366">
          <w:pPr>
            <w:pStyle w:val="StandardWeb"/>
            <w:ind w:left="1450" w:firstLine="1276"/>
            <w:jc w:val="center"/>
            <w:rPr>
              <w:rFonts w:ascii="Calibri" w:hAnsi="Calibri" w:cs="Calibri"/>
              <w:sz w:val="18"/>
              <w:szCs w:val="18"/>
              <w:lang w:val="de-DE"/>
            </w:rPr>
          </w:pPr>
        </w:p>
      </w:tc>
      <w:tc>
        <w:tcPr>
          <w:tcW w:w="1276" w:type="dxa"/>
          <w:vAlign w:val="center"/>
        </w:tcPr>
        <w:p w14:paraId="5AA35D5B" w14:textId="77777777" w:rsidR="004B5366" w:rsidRPr="001350A8" w:rsidRDefault="004B5366" w:rsidP="004B5366">
          <w:pPr>
            <w:jc w:val="right"/>
            <w:rPr>
              <w:rFonts w:cs="Calibri"/>
              <w:sz w:val="18"/>
              <w:szCs w:val="18"/>
            </w:rPr>
          </w:pPr>
          <w:r w:rsidRPr="001350A8">
            <w:rPr>
              <w:rFonts w:cs="Calibri"/>
              <w:sz w:val="18"/>
              <w:szCs w:val="18"/>
            </w:rPr>
            <w:t xml:space="preserve">Page </w:t>
          </w:r>
          <w:r w:rsidRPr="001350A8">
            <w:rPr>
              <w:rFonts w:cs="Calibri"/>
              <w:sz w:val="18"/>
              <w:szCs w:val="18"/>
            </w:rPr>
            <w:fldChar w:fldCharType="begin"/>
          </w:r>
          <w:r w:rsidRPr="001350A8">
            <w:rPr>
              <w:rFonts w:cs="Calibri"/>
              <w:sz w:val="18"/>
              <w:szCs w:val="18"/>
            </w:rPr>
            <w:instrText xml:space="preserve"> PAGE </w:instrText>
          </w:r>
          <w:r w:rsidRPr="001350A8">
            <w:rPr>
              <w:rFonts w:cs="Calibri"/>
              <w:sz w:val="18"/>
              <w:szCs w:val="18"/>
            </w:rPr>
            <w:fldChar w:fldCharType="separate"/>
          </w:r>
          <w:r w:rsidRPr="001350A8">
            <w:rPr>
              <w:rFonts w:cs="Calibri"/>
              <w:sz w:val="18"/>
              <w:szCs w:val="18"/>
            </w:rPr>
            <w:t>2</w:t>
          </w:r>
          <w:r w:rsidRPr="001350A8">
            <w:rPr>
              <w:rFonts w:cs="Calibri"/>
              <w:sz w:val="18"/>
              <w:szCs w:val="18"/>
            </w:rPr>
            <w:fldChar w:fldCharType="end"/>
          </w:r>
          <w:r w:rsidRPr="001350A8">
            <w:rPr>
              <w:rFonts w:cs="Calibri"/>
              <w:sz w:val="18"/>
              <w:szCs w:val="18"/>
            </w:rPr>
            <w:t xml:space="preserve"> | </w:t>
          </w:r>
          <w:r w:rsidRPr="001350A8">
            <w:rPr>
              <w:rFonts w:cs="Calibri"/>
              <w:sz w:val="18"/>
              <w:szCs w:val="18"/>
            </w:rPr>
            <w:fldChar w:fldCharType="begin"/>
          </w:r>
          <w:r w:rsidRPr="001350A8">
            <w:rPr>
              <w:rFonts w:cs="Calibri"/>
              <w:sz w:val="18"/>
              <w:szCs w:val="18"/>
            </w:rPr>
            <w:instrText xml:space="preserve"> NUMPAGES </w:instrText>
          </w:r>
          <w:r w:rsidRPr="001350A8">
            <w:rPr>
              <w:rFonts w:cs="Calibri"/>
              <w:sz w:val="18"/>
              <w:szCs w:val="18"/>
            </w:rPr>
            <w:fldChar w:fldCharType="separate"/>
          </w:r>
          <w:r w:rsidRPr="001350A8">
            <w:rPr>
              <w:rFonts w:cs="Calibri"/>
              <w:sz w:val="18"/>
              <w:szCs w:val="18"/>
            </w:rPr>
            <w:t>2</w:t>
          </w:r>
          <w:r w:rsidRPr="001350A8">
            <w:rPr>
              <w:rFonts w:cs="Calibri"/>
              <w:sz w:val="18"/>
              <w:szCs w:val="18"/>
            </w:rPr>
            <w:fldChar w:fldCharType="end"/>
          </w:r>
        </w:p>
      </w:tc>
    </w:tr>
    <w:tr w:rsidR="004B5366" w:rsidRPr="004B5366" w14:paraId="6B302D8D" w14:textId="77777777" w:rsidTr="004B5366">
      <w:trPr>
        <w:trHeight w:val="234"/>
      </w:trPr>
      <w:tc>
        <w:tcPr>
          <w:tcW w:w="12763" w:type="dxa"/>
          <w:vAlign w:val="center"/>
        </w:tcPr>
        <w:p w14:paraId="0B629763" w14:textId="77777777" w:rsidR="004B5366" w:rsidRPr="00B11F2F" w:rsidRDefault="004B5366" w:rsidP="004B5366">
          <w:pPr>
            <w:pStyle w:val="Fuzeile"/>
            <w:jc w:val="center"/>
            <w:rPr>
              <w:rFonts w:ascii="Arial" w:hAnsi="Arial" w:cs="Times New Roman"/>
              <w:sz w:val="18"/>
              <w:lang w:val="en-US"/>
            </w:rPr>
          </w:pPr>
          <w:r w:rsidRPr="0063335F">
            <w:rPr>
              <w:rFonts w:cs="Calibri"/>
              <w:szCs w:val="18"/>
              <w:lang w:val="en-US"/>
            </w:rPr>
            <w:t>For use by AstraCon customers only (www.astracon.eu). This document contains confidential and/or proprietary information. It may not be reproduced or distributed without prior written permission.</w:t>
          </w:r>
        </w:p>
      </w:tc>
      <w:tc>
        <w:tcPr>
          <w:tcW w:w="1276" w:type="dxa"/>
          <w:vAlign w:val="center"/>
        </w:tcPr>
        <w:p w14:paraId="6056560D" w14:textId="77777777" w:rsidR="004B5366" w:rsidRPr="00B11F2F" w:rsidRDefault="004B5366" w:rsidP="004B5366">
          <w:pPr>
            <w:jc w:val="right"/>
            <w:rPr>
              <w:rFonts w:cs="Calibri"/>
              <w:sz w:val="18"/>
              <w:szCs w:val="18"/>
              <w:lang w:val="en-US"/>
            </w:rPr>
          </w:pPr>
        </w:p>
      </w:tc>
    </w:tr>
  </w:tbl>
  <w:p w14:paraId="6E79D81E" w14:textId="0C8A9D16" w:rsidR="007D2889" w:rsidRPr="004B5366" w:rsidRDefault="007D2889" w:rsidP="00E4655A">
    <w:pPr>
      <w:pStyle w:val="Fuzeile"/>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3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2"/>
      <w:gridCol w:w="2226"/>
      <w:gridCol w:w="1462"/>
    </w:tblGrid>
    <w:tr w:rsidR="004F4ADF" w:rsidRPr="00EB74F9" w14:paraId="687D4B0D" w14:textId="77777777" w:rsidTr="004C3A94">
      <w:trPr>
        <w:trHeight w:val="307"/>
      </w:trPr>
      <w:tc>
        <w:tcPr>
          <w:tcW w:w="12528" w:type="dxa"/>
          <w:gridSpan w:val="2"/>
        </w:tcPr>
        <w:p w14:paraId="5C5C5E79" w14:textId="2C33F3F4" w:rsidR="004F4ADF" w:rsidRPr="00EB74F9" w:rsidRDefault="004F4ADF" w:rsidP="004F4ADF">
          <w:pPr>
            <w:tabs>
              <w:tab w:val="right" w:pos="9437"/>
            </w:tabs>
            <w:spacing w:after="0" w:line="240" w:lineRule="auto"/>
            <w:rPr>
              <w:color w:val="595959" w:themeColor="text1" w:themeTint="A6"/>
              <w:sz w:val="16"/>
              <w:szCs w:val="16"/>
            </w:rPr>
          </w:pPr>
          <w:r>
            <w:rPr>
              <w:b/>
              <w:color w:val="595959" w:themeColor="text1" w:themeTint="A6"/>
              <w:sz w:val="16"/>
              <w:szCs w:val="16"/>
            </w:rPr>
            <w:tab/>
          </w:r>
        </w:p>
      </w:tc>
      <w:tc>
        <w:tcPr>
          <w:tcW w:w="1462" w:type="dxa"/>
        </w:tcPr>
        <w:p w14:paraId="5EA12E62" w14:textId="7CA6F412" w:rsidR="004F4ADF" w:rsidRPr="00EB74F9" w:rsidRDefault="004F4ADF" w:rsidP="004F4ADF">
          <w:pPr>
            <w:tabs>
              <w:tab w:val="right" w:pos="9437"/>
            </w:tabs>
            <w:spacing w:after="0" w:line="240" w:lineRule="auto"/>
            <w:jc w:val="right"/>
            <w:rPr>
              <w:color w:val="595959" w:themeColor="text1" w:themeTint="A6"/>
              <w:sz w:val="16"/>
              <w:szCs w:val="16"/>
            </w:rPr>
          </w:pPr>
        </w:p>
      </w:tc>
    </w:tr>
    <w:tr w:rsidR="00725171" w:rsidRPr="00EB74F9" w14:paraId="151DF726" w14:textId="77777777" w:rsidTr="00FE087A">
      <w:trPr>
        <w:trHeight w:val="307"/>
      </w:trPr>
      <w:tc>
        <w:tcPr>
          <w:tcW w:w="10302" w:type="dxa"/>
        </w:tcPr>
        <w:p w14:paraId="26F2E6A7" w14:textId="4ED3665A" w:rsidR="00725171" w:rsidRPr="00EB74F9" w:rsidRDefault="00725171" w:rsidP="00725171">
          <w:pPr>
            <w:spacing w:after="0" w:line="240" w:lineRule="auto"/>
            <w:rPr>
              <w:b/>
              <w:color w:val="595959" w:themeColor="text1" w:themeTint="A6"/>
              <w:sz w:val="16"/>
              <w:szCs w:val="16"/>
            </w:rPr>
          </w:pPr>
          <w:r w:rsidRPr="00EB74F9">
            <w:rPr>
              <w:b/>
              <w:bCs/>
              <w:color w:val="595959" w:themeColor="text1" w:themeTint="A6"/>
              <w:sz w:val="16"/>
              <w:szCs w:val="16"/>
            </w:rPr>
            <w:t>AstraCon GmbH</w:t>
          </w:r>
          <w:r w:rsidRPr="00EB74F9">
            <w:rPr>
              <w:color w:val="595959" w:themeColor="text1" w:themeTint="A6"/>
              <w:sz w:val="16"/>
              <w:szCs w:val="16"/>
            </w:rPr>
            <w:t xml:space="preserve"> </w:t>
          </w:r>
          <w:r>
            <w:rPr>
              <w:color w:val="595959" w:themeColor="text1" w:themeTint="A6"/>
              <w:sz w:val="16"/>
              <w:szCs w:val="16"/>
            </w:rPr>
            <w:t>Waxensteinstr. 50 |</w:t>
          </w:r>
          <w:r w:rsidRPr="00EB74F9">
            <w:rPr>
              <w:color w:val="595959" w:themeColor="text1" w:themeTint="A6"/>
              <w:sz w:val="16"/>
              <w:szCs w:val="16"/>
            </w:rPr>
            <w:t xml:space="preserve"> </w:t>
          </w:r>
          <w:r>
            <w:rPr>
              <w:color w:val="595959" w:themeColor="text1" w:themeTint="A6"/>
              <w:sz w:val="16"/>
              <w:szCs w:val="16"/>
            </w:rPr>
            <w:t>D-82347 Bernried |</w:t>
          </w:r>
          <w:r w:rsidRPr="00D33142">
            <w:rPr>
              <w:b/>
              <w:color w:val="595959" w:themeColor="text1" w:themeTint="A6"/>
              <w:sz w:val="16"/>
              <w:szCs w:val="16"/>
            </w:rPr>
            <w:t>+49 176 2338 1476</w:t>
          </w:r>
          <w:r>
            <w:rPr>
              <w:b/>
              <w:color w:val="595959" w:themeColor="text1" w:themeTint="A6"/>
              <w:sz w:val="16"/>
              <w:szCs w:val="16"/>
            </w:rPr>
            <w:t xml:space="preserve"> | office@astracon.eu</w:t>
          </w:r>
        </w:p>
      </w:tc>
      <w:tc>
        <w:tcPr>
          <w:tcW w:w="3688" w:type="dxa"/>
          <w:gridSpan w:val="2"/>
        </w:tcPr>
        <w:p w14:paraId="4F87503C" w14:textId="299D793C" w:rsidR="00725171" w:rsidRPr="00EB74F9" w:rsidRDefault="00725171" w:rsidP="00725171">
          <w:pPr>
            <w:pStyle w:val="Fuzeile"/>
            <w:tabs>
              <w:tab w:val="left" w:pos="2290"/>
            </w:tabs>
            <w:jc w:val="right"/>
            <w:rPr>
              <w:b/>
              <w:color w:val="595959" w:themeColor="text1" w:themeTint="A6"/>
              <w:sz w:val="16"/>
              <w:szCs w:val="16"/>
            </w:rPr>
          </w:pPr>
          <w:r>
            <w:rPr>
              <w:color w:val="595959" w:themeColor="text1" w:themeTint="A6"/>
              <w:sz w:val="16"/>
              <w:szCs w:val="16"/>
            </w:rPr>
            <w:t>Page</w:t>
          </w:r>
          <w:r w:rsidRPr="00D33142">
            <w:rPr>
              <w:color w:val="595959" w:themeColor="text1" w:themeTint="A6"/>
              <w:sz w:val="16"/>
              <w:szCs w:val="16"/>
            </w:rPr>
            <w:t xml:space="preserve"> </w:t>
          </w:r>
          <w:r w:rsidRPr="00D33142">
            <w:rPr>
              <w:color w:val="595959" w:themeColor="text1" w:themeTint="A6"/>
              <w:sz w:val="16"/>
              <w:szCs w:val="16"/>
            </w:rPr>
            <w:fldChar w:fldCharType="begin"/>
          </w:r>
          <w:r w:rsidRPr="00D33142">
            <w:rPr>
              <w:color w:val="595959" w:themeColor="text1" w:themeTint="A6"/>
              <w:sz w:val="16"/>
              <w:szCs w:val="16"/>
            </w:rPr>
            <w:instrText xml:space="preserve"> PAGE </w:instrText>
          </w:r>
          <w:r w:rsidRPr="00D33142">
            <w:rPr>
              <w:color w:val="595959" w:themeColor="text1" w:themeTint="A6"/>
              <w:sz w:val="16"/>
              <w:szCs w:val="16"/>
            </w:rPr>
            <w:fldChar w:fldCharType="separate"/>
          </w:r>
          <w:r>
            <w:rPr>
              <w:noProof/>
              <w:color w:val="595959" w:themeColor="text1" w:themeTint="A6"/>
              <w:sz w:val="16"/>
              <w:szCs w:val="16"/>
            </w:rPr>
            <w:t>1</w:t>
          </w:r>
          <w:r w:rsidRPr="00D33142">
            <w:rPr>
              <w:color w:val="595959" w:themeColor="text1" w:themeTint="A6"/>
              <w:sz w:val="16"/>
              <w:szCs w:val="16"/>
            </w:rPr>
            <w:fldChar w:fldCharType="end"/>
          </w:r>
          <w:r w:rsidRPr="00D33142">
            <w:rPr>
              <w:color w:val="595959" w:themeColor="text1" w:themeTint="A6"/>
              <w:sz w:val="16"/>
              <w:szCs w:val="16"/>
            </w:rPr>
            <w:t xml:space="preserve"> | </w:t>
          </w:r>
          <w:r w:rsidRPr="00D33142">
            <w:rPr>
              <w:color w:val="595959" w:themeColor="text1" w:themeTint="A6"/>
              <w:sz w:val="16"/>
              <w:szCs w:val="16"/>
            </w:rPr>
            <w:fldChar w:fldCharType="begin"/>
          </w:r>
          <w:r w:rsidRPr="00D33142">
            <w:rPr>
              <w:color w:val="595959" w:themeColor="text1" w:themeTint="A6"/>
              <w:sz w:val="16"/>
              <w:szCs w:val="16"/>
            </w:rPr>
            <w:instrText xml:space="preserve"> NUMPAGES </w:instrText>
          </w:r>
          <w:r w:rsidRPr="00D33142">
            <w:rPr>
              <w:color w:val="595959" w:themeColor="text1" w:themeTint="A6"/>
              <w:sz w:val="16"/>
              <w:szCs w:val="16"/>
            </w:rPr>
            <w:fldChar w:fldCharType="separate"/>
          </w:r>
          <w:r>
            <w:rPr>
              <w:noProof/>
              <w:color w:val="595959" w:themeColor="text1" w:themeTint="A6"/>
              <w:sz w:val="16"/>
              <w:szCs w:val="16"/>
            </w:rPr>
            <w:t>3</w:t>
          </w:r>
          <w:r w:rsidRPr="00D33142">
            <w:rPr>
              <w:color w:val="595959" w:themeColor="text1" w:themeTint="A6"/>
              <w:sz w:val="16"/>
              <w:szCs w:val="16"/>
            </w:rPr>
            <w:fldChar w:fldCharType="end"/>
          </w:r>
        </w:p>
      </w:tc>
    </w:tr>
  </w:tbl>
  <w:p w14:paraId="215F396D" w14:textId="3AA6F3B0" w:rsidR="00EB74F9" w:rsidRPr="006D055C" w:rsidRDefault="00EB74F9" w:rsidP="00AF20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3AE74" w14:textId="77777777" w:rsidR="00886520" w:rsidRDefault="00886520" w:rsidP="004F6180">
      <w:r>
        <w:separator/>
      </w:r>
    </w:p>
  </w:footnote>
  <w:footnote w:type="continuationSeparator" w:id="0">
    <w:p w14:paraId="46B505BE" w14:textId="77777777" w:rsidR="00886520" w:rsidRDefault="00886520" w:rsidP="004F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58" w:type="pct"/>
      <w:jc w:val="center"/>
      <w:tblLook w:val="04A0" w:firstRow="1" w:lastRow="0" w:firstColumn="1" w:lastColumn="0" w:noHBand="0" w:noVBand="1"/>
    </w:tblPr>
    <w:tblGrid>
      <w:gridCol w:w="3793"/>
      <w:gridCol w:w="7264"/>
      <w:gridCol w:w="2103"/>
    </w:tblGrid>
    <w:tr w:rsidR="004B5366" w:rsidRPr="00807121" w14:paraId="6C2489F3" w14:textId="77777777" w:rsidTr="002B2AC2">
      <w:trPr>
        <w:trHeight w:val="708"/>
        <w:jc w:val="center"/>
      </w:trPr>
      <w:tc>
        <w:tcPr>
          <w:tcW w:w="3793" w:type="dxa"/>
          <w:vMerge w:val="restart"/>
          <w:vAlign w:val="center"/>
        </w:tcPr>
        <w:p w14:paraId="02E77D87" w14:textId="77777777" w:rsidR="004B5366" w:rsidRPr="00E3549F" w:rsidRDefault="004B5366" w:rsidP="004B5366">
          <w:pPr>
            <w:pStyle w:val="Kopfzeile"/>
            <w:rPr>
              <w:rFonts w:cs="Calibri"/>
              <w:sz w:val="36"/>
              <w:szCs w:val="36"/>
            </w:rPr>
          </w:pPr>
          <w:r w:rsidRPr="00E3549F">
            <w:rPr>
              <w:rFonts w:cs="Calibri"/>
              <w:noProof/>
              <w:lang w:eastAsia="de-DE"/>
            </w:rPr>
            <w:drawing>
              <wp:anchor distT="0" distB="0" distL="114300" distR="114300" simplePos="0" relativeHeight="251674624" behindDoc="0" locked="0" layoutInCell="1" allowOverlap="1" wp14:anchorId="72BF0735" wp14:editId="25846D06">
                <wp:simplePos x="0" y="0"/>
                <wp:positionH relativeFrom="column">
                  <wp:posOffset>598170</wp:posOffset>
                </wp:positionH>
                <wp:positionV relativeFrom="page">
                  <wp:posOffset>49530</wp:posOffset>
                </wp:positionV>
                <wp:extent cx="1637665" cy="730250"/>
                <wp:effectExtent l="0" t="0" r="0" b="6350"/>
                <wp:wrapNone/>
                <wp:docPr id="94968879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88795"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7665" cy="730250"/>
                        </a:xfrm>
                        <a:prstGeom prst="rect">
                          <a:avLst/>
                        </a:prstGeom>
                      </pic:spPr>
                    </pic:pic>
                  </a:graphicData>
                </a:graphic>
                <wp14:sizeRelH relativeFrom="page">
                  <wp14:pctWidth>0</wp14:pctWidth>
                </wp14:sizeRelH>
                <wp14:sizeRelV relativeFrom="page">
                  <wp14:pctHeight>0</wp14:pctHeight>
                </wp14:sizeRelV>
              </wp:anchor>
            </w:drawing>
          </w:r>
        </w:p>
      </w:tc>
      <w:tc>
        <w:tcPr>
          <w:tcW w:w="7264" w:type="dxa"/>
          <w:vAlign w:val="center"/>
        </w:tcPr>
        <w:p w14:paraId="05C75BDE" w14:textId="77777777" w:rsidR="004B5366" w:rsidRPr="00807121" w:rsidRDefault="004B5366" w:rsidP="004B5366">
          <w:pPr>
            <w:pStyle w:val="Kopfzeile"/>
            <w:jc w:val="center"/>
            <w:rPr>
              <w:rFonts w:cs="Calibri"/>
              <w:color w:val="auto"/>
              <w:sz w:val="20"/>
              <w:szCs w:val="24"/>
            </w:rPr>
          </w:pPr>
        </w:p>
      </w:tc>
      <w:tc>
        <w:tcPr>
          <w:tcW w:w="2103" w:type="dxa"/>
          <w:vMerge w:val="restart"/>
          <w:vAlign w:val="center"/>
        </w:tcPr>
        <w:p w14:paraId="4C1C137D" w14:textId="405692C3" w:rsidR="004B5366" w:rsidRPr="00807121" w:rsidRDefault="004B5366" w:rsidP="004B5366">
          <w:pPr>
            <w:pStyle w:val="Kopfzeile"/>
            <w:rPr>
              <w:rFonts w:cs="Calibri"/>
              <w:color w:val="auto"/>
              <w:sz w:val="20"/>
              <w:szCs w:val="24"/>
              <w:lang w:val="en-US"/>
            </w:rPr>
          </w:pPr>
          <w:r w:rsidRPr="00807121">
            <w:rPr>
              <w:rFonts w:cs="Calibri"/>
              <w:color w:val="auto"/>
              <w:sz w:val="20"/>
              <w:szCs w:val="24"/>
              <w:lang w:val="en-US"/>
            </w:rPr>
            <w:t>Doc no.: CL00</w:t>
          </w:r>
          <w:r>
            <w:rPr>
              <w:rFonts w:cs="Calibri"/>
              <w:color w:val="auto"/>
              <w:sz w:val="20"/>
              <w:szCs w:val="24"/>
              <w:lang w:val="en-US"/>
            </w:rPr>
            <w:t>4</w:t>
          </w:r>
          <w:r w:rsidRPr="00807121">
            <w:rPr>
              <w:rFonts w:cs="Calibri"/>
              <w:color w:val="auto"/>
              <w:sz w:val="20"/>
              <w:szCs w:val="24"/>
              <w:lang w:val="en-US"/>
            </w:rPr>
            <w:t xml:space="preserve"> </w:t>
          </w:r>
          <w:r w:rsidRPr="00807121">
            <w:rPr>
              <w:rFonts w:cs="Calibri"/>
              <w:color w:val="auto"/>
              <w:sz w:val="20"/>
              <w:szCs w:val="24"/>
              <w:lang w:val="en-US"/>
            </w:rPr>
            <w:br/>
            <w:t>Doc type: VL</w:t>
          </w:r>
          <w:r w:rsidRPr="00807121">
            <w:rPr>
              <w:rFonts w:cs="Calibri"/>
              <w:color w:val="auto"/>
              <w:sz w:val="20"/>
              <w:szCs w:val="24"/>
              <w:lang w:val="en-US"/>
            </w:rPr>
            <w:br/>
            <w:t>Version: 01.00</w:t>
          </w:r>
          <w:r w:rsidRPr="00807121">
            <w:rPr>
              <w:rFonts w:cs="Calibri"/>
              <w:color w:val="auto"/>
              <w:sz w:val="20"/>
              <w:szCs w:val="24"/>
              <w:lang w:val="en-US"/>
            </w:rPr>
            <w:br/>
            <w:t>Valid from: 12.01.2022</w:t>
          </w:r>
        </w:p>
      </w:tc>
    </w:tr>
    <w:tr w:rsidR="004B5366" w:rsidRPr="00807121" w14:paraId="194B245F" w14:textId="77777777" w:rsidTr="002B2AC2">
      <w:trPr>
        <w:trHeight w:val="708"/>
        <w:jc w:val="center"/>
      </w:trPr>
      <w:tc>
        <w:tcPr>
          <w:tcW w:w="3793" w:type="dxa"/>
          <w:vMerge/>
          <w:vAlign w:val="center"/>
        </w:tcPr>
        <w:p w14:paraId="50CD213E" w14:textId="77777777" w:rsidR="004B5366" w:rsidRPr="00807121" w:rsidRDefault="004B5366" w:rsidP="004B5366">
          <w:pPr>
            <w:pStyle w:val="Kopfzeile"/>
            <w:rPr>
              <w:rFonts w:cs="Calibri"/>
              <w:noProof/>
              <w:lang w:val="en-US" w:eastAsia="de-DE"/>
            </w:rPr>
          </w:pPr>
        </w:p>
      </w:tc>
      <w:tc>
        <w:tcPr>
          <w:tcW w:w="7264" w:type="dxa"/>
          <w:vAlign w:val="center"/>
        </w:tcPr>
        <w:p w14:paraId="68812C00" w14:textId="088B887A" w:rsidR="004B5366" w:rsidRPr="00807121" w:rsidRDefault="004B5366" w:rsidP="004B5366">
          <w:pPr>
            <w:pStyle w:val="Kopfzeile"/>
            <w:jc w:val="center"/>
            <w:rPr>
              <w:rFonts w:cs="Calibri"/>
              <w:color w:val="auto"/>
              <w:sz w:val="20"/>
              <w:szCs w:val="24"/>
              <w:lang w:val="en-US"/>
            </w:rPr>
          </w:pPr>
          <w:r>
            <w:rPr>
              <w:rFonts w:cs="Calibri"/>
              <w:color w:val="auto"/>
              <w:sz w:val="20"/>
              <w:szCs w:val="24"/>
              <w:lang w:val="en-US"/>
            </w:rPr>
            <w:t>Extensive</w:t>
          </w:r>
          <w:r>
            <w:rPr>
              <w:rFonts w:cs="Calibri"/>
              <w:color w:val="auto"/>
              <w:sz w:val="20"/>
              <w:szCs w:val="24"/>
              <w:lang w:val="en-US"/>
            </w:rPr>
            <w:t xml:space="preserve"> Checklist for IVDR Technical Documentations</w:t>
          </w:r>
        </w:p>
      </w:tc>
      <w:tc>
        <w:tcPr>
          <w:tcW w:w="2103" w:type="dxa"/>
          <w:vMerge/>
          <w:vAlign w:val="center"/>
        </w:tcPr>
        <w:p w14:paraId="3E81EC18" w14:textId="77777777" w:rsidR="004B5366" w:rsidRPr="00807121" w:rsidRDefault="004B5366" w:rsidP="004B5366">
          <w:pPr>
            <w:pStyle w:val="Kopfzeile"/>
            <w:rPr>
              <w:rFonts w:cs="Calibri"/>
              <w:color w:val="auto"/>
              <w:sz w:val="20"/>
              <w:szCs w:val="24"/>
              <w:lang w:val="en-US"/>
            </w:rPr>
          </w:pPr>
        </w:p>
      </w:tc>
    </w:tr>
  </w:tbl>
  <w:p w14:paraId="6717CD1C" w14:textId="6A4BF201" w:rsidR="00F064DC" w:rsidRPr="004B5366" w:rsidRDefault="00F064DC" w:rsidP="000E4D51">
    <w:pPr>
      <w:pStyle w:val="Kopfzeile"/>
      <w:ind w:left="708"/>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58E9" w14:textId="0FB02C52" w:rsidR="00050D1B" w:rsidRPr="00AF20BD" w:rsidRDefault="00155138" w:rsidP="00EB74F9">
    <w:pPr>
      <w:pStyle w:val="ACKopfzeileAbsender"/>
      <w:tabs>
        <w:tab w:val="clear" w:pos="9072"/>
        <w:tab w:val="right" w:pos="9639"/>
      </w:tabs>
      <w:rPr>
        <w:lang w:val="de-DE"/>
      </w:rPr>
    </w:pPr>
    <w:r w:rsidRPr="00AF20BD">
      <w:rPr>
        <w:noProof/>
        <w:lang w:val="de-DE" w:eastAsia="de-DE"/>
      </w:rPr>
      <w:drawing>
        <wp:anchor distT="0" distB="0" distL="114300" distR="114300" simplePos="0" relativeHeight="251672576" behindDoc="0" locked="0" layoutInCell="1" allowOverlap="1" wp14:anchorId="6927B522" wp14:editId="74072E06">
          <wp:simplePos x="0" y="0"/>
          <wp:positionH relativeFrom="column">
            <wp:posOffset>7203440</wp:posOffset>
          </wp:positionH>
          <wp:positionV relativeFrom="page">
            <wp:posOffset>560070</wp:posOffset>
          </wp:positionV>
          <wp:extent cx="1638000" cy="730800"/>
          <wp:effectExtent l="0" t="0" r="0" b="635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8000" cy="73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0D"/>
    <w:multiLevelType w:val="hybridMultilevel"/>
    <w:tmpl w:val="D6F403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1845A6"/>
    <w:multiLevelType w:val="hybridMultilevel"/>
    <w:tmpl w:val="540CDDE6"/>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25C3E"/>
    <w:multiLevelType w:val="hybridMultilevel"/>
    <w:tmpl w:val="2536CB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072EC"/>
    <w:multiLevelType w:val="hybridMultilevel"/>
    <w:tmpl w:val="0ECAA58E"/>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06997"/>
    <w:multiLevelType w:val="hybridMultilevel"/>
    <w:tmpl w:val="4B1495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D52142C"/>
    <w:multiLevelType w:val="hybridMultilevel"/>
    <w:tmpl w:val="A4865B8E"/>
    <w:lvl w:ilvl="0" w:tplc="C338AC20">
      <w:start w:val="1"/>
      <w:numFmt w:val="decimal"/>
      <w:pStyle w:val="Listenabsatz"/>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31D514B"/>
    <w:multiLevelType w:val="hybridMultilevel"/>
    <w:tmpl w:val="CA8A95C4"/>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B36250"/>
    <w:multiLevelType w:val="hybridMultilevel"/>
    <w:tmpl w:val="C8D885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0625E"/>
    <w:multiLevelType w:val="hybridMultilevel"/>
    <w:tmpl w:val="1C0C7E52"/>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8C55FD"/>
    <w:multiLevelType w:val="hybridMultilevel"/>
    <w:tmpl w:val="4A948A8E"/>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B43854"/>
    <w:multiLevelType w:val="hybridMultilevel"/>
    <w:tmpl w:val="65722D46"/>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8D5D71"/>
    <w:multiLevelType w:val="hybridMultilevel"/>
    <w:tmpl w:val="ED48A55A"/>
    <w:lvl w:ilvl="0" w:tplc="04070001">
      <w:start w:val="1"/>
      <w:numFmt w:val="bullet"/>
      <w:lvlText w:val=""/>
      <w:lvlJc w:val="left"/>
      <w:pPr>
        <w:ind w:left="41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2" w15:restartNumberingAfterBreak="0">
    <w:nsid w:val="4C1516B6"/>
    <w:multiLevelType w:val="hybridMultilevel"/>
    <w:tmpl w:val="9C62C8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6C920C7"/>
    <w:multiLevelType w:val="hybridMultilevel"/>
    <w:tmpl w:val="450C3E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EED79BD"/>
    <w:multiLevelType w:val="hybridMultilevel"/>
    <w:tmpl w:val="2B1061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FD07B5E"/>
    <w:multiLevelType w:val="hybridMultilevel"/>
    <w:tmpl w:val="349CAA6E"/>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535E29"/>
    <w:multiLevelType w:val="hybridMultilevel"/>
    <w:tmpl w:val="3F72501A"/>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B67FC5"/>
    <w:multiLevelType w:val="hybridMultilevel"/>
    <w:tmpl w:val="F2E274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DD55529"/>
    <w:multiLevelType w:val="hybridMultilevel"/>
    <w:tmpl w:val="77F4717C"/>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010A3D"/>
    <w:multiLevelType w:val="hybridMultilevel"/>
    <w:tmpl w:val="E4BA70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8B57AF"/>
    <w:multiLevelType w:val="hybridMultilevel"/>
    <w:tmpl w:val="44DC0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395DD5"/>
    <w:multiLevelType w:val="hybridMultilevel"/>
    <w:tmpl w:val="0FBCE9CC"/>
    <w:lvl w:ilvl="0" w:tplc="3B825D48">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FF140C"/>
    <w:multiLevelType w:val="hybridMultilevel"/>
    <w:tmpl w:val="752A68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89C5812"/>
    <w:multiLevelType w:val="hybridMultilevel"/>
    <w:tmpl w:val="0A4EBCEA"/>
    <w:lvl w:ilvl="0" w:tplc="3B825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CB1AAB"/>
    <w:multiLevelType w:val="hybridMultilevel"/>
    <w:tmpl w:val="89DA16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22"/>
  </w:num>
  <w:num w:numId="5">
    <w:abstractNumId w:val="12"/>
  </w:num>
  <w:num w:numId="6">
    <w:abstractNumId w:val="0"/>
  </w:num>
  <w:num w:numId="7">
    <w:abstractNumId w:val="4"/>
  </w:num>
  <w:num w:numId="8">
    <w:abstractNumId w:val="17"/>
  </w:num>
  <w:num w:numId="9">
    <w:abstractNumId w:val="23"/>
  </w:num>
  <w:num w:numId="10">
    <w:abstractNumId w:val="9"/>
  </w:num>
  <w:num w:numId="11">
    <w:abstractNumId w:val="3"/>
  </w:num>
  <w:num w:numId="12">
    <w:abstractNumId w:val="18"/>
  </w:num>
  <w:num w:numId="13">
    <w:abstractNumId w:val="15"/>
  </w:num>
  <w:num w:numId="14">
    <w:abstractNumId w:val="8"/>
  </w:num>
  <w:num w:numId="15">
    <w:abstractNumId w:val="16"/>
  </w:num>
  <w:num w:numId="16">
    <w:abstractNumId w:val="10"/>
  </w:num>
  <w:num w:numId="17">
    <w:abstractNumId w:val="21"/>
  </w:num>
  <w:num w:numId="18">
    <w:abstractNumId w:val="6"/>
  </w:num>
  <w:num w:numId="19">
    <w:abstractNumId w:val="1"/>
  </w:num>
  <w:num w:numId="20">
    <w:abstractNumId w:val="7"/>
  </w:num>
  <w:num w:numId="21">
    <w:abstractNumId w:val="19"/>
  </w:num>
  <w:num w:numId="22">
    <w:abstractNumId w:val="24"/>
  </w:num>
  <w:num w:numId="23">
    <w:abstractNumId w:val="20"/>
  </w:num>
  <w:num w:numId="24">
    <w:abstractNumId w:val="2"/>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5B"/>
    <w:rsid w:val="00012682"/>
    <w:rsid w:val="00016D2B"/>
    <w:rsid w:val="00027FC3"/>
    <w:rsid w:val="00042CA8"/>
    <w:rsid w:val="00042EED"/>
    <w:rsid w:val="00050D1B"/>
    <w:rsid w:val="000529F3"/>
    <w:rsid w:val="000537C3"/>
    <w:rsid w:val="0005704F"/>
    <w:rsid w:val="00082BEF"/>
    <w:rsid w:val="000A537B"/>
    <w:rsid w:val="000B27F3"/>
    <w:rsid w:val="000C3076"/>
    <w:rsid w:val="000C356E"/>
    <w:rsid w:val="000E4D51"/>
    <w:rsid w:val="000F3659"/>
    <w:rsid w:val="000F41C0"/>
    <w:rsid w:val="001240C8"/>
    <w:rsid w:val="00126F04"/>
    <w:rsid w:val="00132DEC"/>
    <w:rsid w:val="00134EE1"/>
    <w:rsid w:val="0013580C"/>
    <w:rsid w:val="001427BF"/>
    <w:rsid w:val="00144A7C"/>
    <w:rsid w:val="00144D35"/>
    <w:rsid w:val="00145D46"/>
    <w:rsid w:val="0014638E"/>
    <w:rsid w:val="00155138"/>
    <w:rsid w:val="001570F5"/>
    <w:rsid w:val="00161865"/>
    <w:rsid w:val="00175F5A"/>
    <w:rsid w:val="00190D71"/>
    <w:rsid w:val="001A7839"/>
    <w:rsid w:val="001B67B3"/>
    <w:rsid w:val="001D722C"/>
    <w:rsid w:val="00201186"/>
    <w:rsid w:val="00203D59"/>
    <w:rsid w:val="00223644"/>
    <w:rsid w:val="00246BA0"/>
    <w:rsid w:val="00246E2C"/>
    <w:rsid w:val="00264FAF"/>
    <w:rsid w:val="00271FD0"/>
    <w:rsid w:val="00275FF0"/>
    <w:rsid w:val="002905ED"/>
    <w:rsid w:val="002A338A"/>
    <w:rsid w:val="0030695E"/>
    <w:rsid w:val="00310376"/>
    <w:rsid w:val="00314900"/>
    <w:rsid w:val="00314C67"/>
    <w:rsid w:val="00330BEA"/>
    <w:rsid w:val="00331C02"/>
    <w:rsid w:val="0038181B"/>
    <w:rsid w:val="003835FA"/>
    <w:rsid w:val="0038418D"/>
    <w:rsid w:val="003871DB"/>
    <w:rsid w:val="003A24E3"/>
    <w:rsid w:val="003C7DA3"/>
    <w:rsid w:val="003D283E"/>
    <w:rsid w:val="003D29E0"/>
    <w:rsid w:val="003D6EBD"/>
    <w:rsid w:val="003D7DAF"/>
    <w:rsid w:val="003E4293"/>
    <w:rsid w:val="003F3516"/>
    <w:rsid w:val="004002D5"/>
    <w:rsid w:val="00404733"/>
    <w:rsid w:val="00407253"/>
    <w:rsid w:val="0042537C"/>
    <w:rsid w:val="004352AA"/>
    <w:rsid w:val="00451227"/>
    <w:rsid w:val="004529AF"/>
    <w:rsid w:val="00456694"/>
    <w:rsid w:val="00471DC5"/>
    <w:rsid w:val="00472EB0"/>
    <w:rsid w:val="00484005"/>
    <w:rsid w:val="00485726"/>
    <w:rsid w:val="00486C25"/>
    <w:rsid w:val="004A090F"/>
    <w:rsid w:val="004A36DD"/>
    <w:rsid w:val="004B2A02"/>
    <w:rsid w:val="004B5366"/>
    <w:rsid w:val="004B7318"/>
    <w:rsid w:val="004B77E4"/>
    <w:rsid w:val="004C30AF"/>
    <w:rsid w:val="004C3A94"/>
    <w:rsid w:val="004C7147"/>
    <w:rsid w:val="004D177A"/>
    <w:rsid w:val="004D29F3"/>
    <w:rsid w:val="004D700D"/>
    <w:rsid w:val="004E6819"/>
    <w:rsid w:val="004F4ADF"/>
    <w:rsid w:val="004F5072"/>
    <w:rsid w:val="004F6180"/>
    <w:rsid w:val="00504249"/>
    <w:rsid w:val="0050671E"/>
    <w:rsid w:val="005101C6"/>
    <w:rsid w:val="0051069B"/>
    <w:rsid w:val="0051506C"/>
    <w:rsid w:val="005154B9"/>
    <w:rsid w:val="005164FB"/>
    <w:rsid w:val="00522FC5"/>
    <w:rsid w:val="00526F00"/>
    <w:rsid w:val="00537F5B"/>
    <w:rsid w:val="0058154A"/>
    <w:rsid w:val="0058412C"/>
    <w:rsid w:val="005918D7"/>
    <w:rsid w:val="005938CD"/>
    <w:rsid w:val="005A18BF"/>
    <w:rsid w:val="005A27F6"/>
    <w:rsid w:val="005C32B1"/>
    <w:rsid w:val="005D1A58"/>
    <w:rsid w:val="005D7F3C"/>
    <w:rsid w:val="005F4C9F"/>
    <w:rsid w:val="005F5D85"/>
    <w:rsid w:val="00603584"/>
    <w:rsid w:val="006117E0"/>
    <w:rsid w:val="00613D17"/>
    <w:rsid w:val="006178C3"/>
    <w:rsid w:val="006204B4"/>
    <w:rsid w:val="00630676"/>
    <w:rsid w:val="006331CD"/>
    <w:rsid w:val="00633CC1"/>
    <w:rsid w:val="00634026"/>
    <w:rsid w:val="00644C9F"/>
    <w:rsid w:val="00647996"/>
    <w:rsid w:val="00657ADC"/>
    <w:rsid w:val="006656D8"/>
    <w:rsid w:val="006672DE"/>
    <w:rsid w:val="0066735A"/>
    <w:rsid w:val="00682ED4"/>
    <w:rsid w:val="006874C2"/>
    <w:rsid w:val="00694BD3"/>
    <w:rsid w:val="0069644B"/>
    <w:rsid w:val="0069752A"/>
    <w:rsid w:val="006A2DE5"/>
    <w:rsid w:val="006A5255"/>
    <w:rsid w:val="006A61A1"/>
    <w:rsid w:val="006B2477"/>
    <w:rsid w:val="006B59A4"/>
    <w:rsid w:val="006B5E7C"/>
    <w:rsid w:val="006C1D2D"/>
    <w:rsid w:val="006D055C"/>
    <w:rsid w:val="006D4B55"/>
    <w:rsid w:val="006E7D10"/>
    <w:rsid w:val="006F0835"/>
    <w:rsid w:val="006F1662"/>
    <w:rsid w:val="006F7F5A"/>
    <w:rsid w:val="00723403"/>
    <w:rsid w:val="00725171"/>
    <w:rsid w:val="00747293"/>
    <w:rsid w:val="007626F5"/>
    <w:rsid w:val="0077364C"/>
    <w:rsid w:val="007740C2"/>
    <w:rsid w:val="007805D2"/>
    <w:rsid w:val="00792673"/>
    <w:rsid w:val="007A24DE"/>
    <w:rsid w:val="007B71AD"/>
    <w:rsid w:val="007D07E4"/>
    <w:rsid w:val="007D2889"/>
    <w:rsid w:val="007E20B6"/>
    <w:rsid w:val="007F5018"/>
    <w:rsid w:val="0080259A"/>
    <w:rsid w:val="00810E8F"/>
    <w:rsid w:val="00811B8A"/>
    <w:rsid w:val="00815356"/>
    <w:rsid w:val="008308EB"/>
    <w:rsid w:val="00832B92"/>
    <w:rsid w:val="008774B4"/>
    <w:rsid w:val="00877C92"/>
    <w:rsid w:val="00886520"/>
    <w:rsid w:val="00891E94"/>
    <w:rsid w:val="008A2BF3"/>
    <w:rsid w:val="008B2B69"/>
    <w:rsid w:val="008B2D75"/>
    <w:rsid w:val="008B30CC"/>
    <w:rsid w:val="008C1819"/>
    <w:rsid w:val="008C3607"/>
    <w:rsid w:val="008C50EB"/>
    <w:rsid w:val="008D688E"/>
    <w:rsid w:val="008E642E"/>
    <w:rsid w:val="008E66B9"/>
    <w:rsid w:val="008E725A"/>
    <w:rsid w:val="008F33CE"/>
    <w:rsid w:val="008F6476"/>
    <w:rsid w:val="0090233D"/>
    <w:rsid w:val="00917BC1"/>
    <w:rsid w:val="00920279"/>
    <w:rsid w:val="00921981"/>
    <w:rsid w:val="009304D9"/>
    <w:rsid w:val="009338B9"/>
    <w:rsid w:val="00943388"/>
    <w:rsid w:val="00951634"/>
    <w:rsid w:val="009637B1"/>
    <w:rsid w:val="00965B19"/>
    <w:rsid w:val="009674BC"/>
    <w:rsid w:val="00974425"/>
    <w:rsid w:val="00974830"/>
    <w:rsid w:val="00975F2B"/>
    <w:rsid w:val="00992A08"/>
    <w:rsid w:val="00993772"/>
    <w:rsid w:val="00995098"/>
    <w:rsid w:val="00997026"/>
    <w:rsid w:val="009B3A22"/>
    <w:rsid w:val="009B79C0"/>
    <w:rsid w:val="009C1B1D"/>
    <w:rsid w:val="009C5F9E"/>
    <w:rsid w:val="009C69B7"/>
    <w:rsid w:val="009C7847"/>
    <w:rsid w:val="009D07B2"/>
    <w:rsid w:val="009D635B"/>
    <w:rsid w:val="009E533D"/>
    <w:rsid w:val="009F6013"/>
    <w:rsid w:val="00A0478D"/>
    <w:rsid w:val="00A20F28"/>
    <w:rsid w:val="00A22CB3"/>
    <w:rsid w:val="00A2711A"/>
    <w:rsid w:val="00A3223F"/>
    <w:rsid w:val="00A40FCB"/>
    <w:rsid w:val="00A46BA5"/>
    <w:rsid w:val="00A47D43"/>
    <w:rsid w:val="00A52448"/>
    <w:rsid w:val="00A55C65"/>
    <w:rsid w:val="00A60200"/>
    <w:rsid w:val="00A67118"/>
    <w:rsid w:val="00A7010C"/>
    <w:rsid w:val="00A83D29"/>
    <w:rsid w:val="00A861D4"/>
    <w:rsid w:val="00A95496"/>
    <w:rsid w:val="00AB0482"/>
    <w:rsid w:val="00AB274A"/>
    <w:rsid w:val="00AC2C56"/>
    <w:rsid w:val="00AD5249"/>
    <w:rsid w:val="00AD5D58"/>
    <w:rsid w:val="00AD68C4"/>
    <w:rsid w:val="00AE512E"/>
    <w:rsid w:val="00AE740B"/>
    <w:rsid w:val="00AF1DC3"/>
    <w:rsid w:val="00AF20BD"/>
    <w:rsid w:val="00AF7A73"/>
    <w:rsid w:val="00B002FD"/>
    <w:rsid w:val="00B03256"/>
    <w:rsid w:val="00B03623"/>
    <w:rsid w:val="00B12BCD"/>
    <w:rsid w:val="00B160F8"/>
    <w:rsid w:val="00B22293"/>
    <w:rsid w:val="00B34E00"/>
    <w:rsid w:val="00B35DEC"/>
    <w:rsid w:val="00B708C6"/>
    <w:rsid w:val="00B80A28"/>
    <w:rsid w:val="00B84B8A"/>
    <w:rsid w:val="00B925DF"/>
    <w:rsid w:val="00B9337D"/>
    <w:rsid w:val="00BA36C1"/>
    <w:rsid w:val="00BA5370"/>
    <w:rsid w:val="00BB11A8"/>
    <w:rsid w:val="00BB5DAB"/>
    <w:rsid w:val="00BC1AA3"/>
    <w:rsid w:val="00BC22DC"/>
    <w:rsid w:val="00BC2BFD"/>
    <w:rsid w:val="00BC4110"/>
    <w:rsid w:val="00BC7A1F"/>
    <w:rsid w:val="00BD2849"/>
    <w:rsid w:val="00BD4F36"/>
    <w:rsid w:val="00BE549A"/>
    <w:rsid w:val="00BF06DC"/>
    <w:rsid w:val="00BF0B39"/>
    <w:rsid w:val="00BF3996"/>
    <w:rsid w:val="00BF3CA7"/>
    <w:rsid w:val="00C002C9"/>
    <w:rsid w:val="00C02E29"/>
    <w:rsid w:val="00C07DF7"/>
    <w:rsid w:val="00C110DD"/>
    <w:rsid w:val="00C24F58"/>
    <w:rsid w:val="00C43FDB"/>
    <w:rsid w:val="00C4555D"/>
    <w:rsid w:val="00C50D5C"/>
    <w:rsid w:val="00C52D33"/>
    <w:rsid w:val="00C57076"/>
    <w:rsid w:val="00C57141"/>
    <w:rsid w:val="00C57D72"/>
    <w:rsid w:val="00C62149"/>
    <w:rsid w:val="00C66B96"/>
    <w:rsid w:val="00C74647"/>
    <w:rsid w:val="00C77A16"/>
    <w:rsid w:val="00C77C26"/>
    <w:rsid w:val="00C83671"/>
    <w:rsid w:val="00C93B59"/>
    <w:rsid w:val="00CB4A10"/>
    <w:rsid w:val="00CB6310"/>
    <w:rsid w:val="00CC3D43"/>
    <w:rsid w:val="00CC6431"/>
    <w:rsid w:val="00CC7CC6"/>
    <w:rsid w:val="00CD231B"/>
    <w:rsid w:val="00CF0A89"/>
    <w:rsid w:val="00CF4BBD"/>
    <w:rsid w:val="00D02EAA"/>
    <w:rsid w:val="00D173B5"/>
    <w:rsid w:val="00D26F39"/>
    <w:rsid w:val="00D33142"/>
    <w:rsid w:val="00D36EFC"/>
    <w:rsid w:val="00D63CEB"/>
    <w:rsid w:val="00D70B48"/>
    <w:rsid w:val="00D8154F"/>
    <w:rsid w:val="00D93CBE"/>
    <w:rsid w:val="00DB3418"/>
    <w:rsid w:val="00DC006E"/>
    <w:rsid w:val="00DC1FEE"/>
    <w:rsid w:val="00DD6456"/>
    <w:rsid w:val="00DE1392"/>
    <w:rsid w:val="00DE34CE"/>
    <w:rsid w:val="00DE3A43"/>
    <w:rsid w:val="00DF3B6A"/>
    <w:rsid w:val="00DF5196"/>
    <w:rsid w:val="00E0172D"/>
    <w:rsid w:val="00E10D11"/>
    <w:rsid w:val="00E125D3"/>
    <w:rsid w:val="00E161B2"/>
    <w:rsid w:val="00E20AF7"/>
    <w:rsid w:val="00E30CDB"/>
    <w:rsid w:val="00E4655A"/>
    <w:rsid w:val="00E47628"/>
    <w:rsid w:val="00E525E8"/>
    <w:rsid w:val="00E648BE"/>
    <w:rsid w:val="00E80A56"/>
    <w:rsid w:val="00E8528F"/>
    <w:rsid w:val="00E8618E"/>
    <w:rsid w:val="00E953C6"/>
    <w:rsid w:val="00EA28F6"/>
    <w:rsid w:val="00EB2C8C"/>
    <w:rsid w:val="00EB33DC"/>
    <w:rsid w:val="00EB74F9"/>
    <w:rsid w:val="00EB7D76"/>
    <w:rsid w:val="00EC7BBE"/>
    <w:rsid w:val="00EE1FE6"/>
    <w:rsid w:val="00EE2A55"/>
    <w:rsid w:val="00EE2FBF"/>
    <w:rsid w:val="00EE32EE"/>
    <w:rsid w:val="00EE6F4F"/>
    <w:rsid w:val="00EF2882"/>
    <w:rsid w:val="00F03BAB"/>
    <w:rsid w:val="00F049FD"/>
    <w:rsid w:val="00F064DC"/>
    <w:rsid w:val="00F0690B"/>
    <w:rsid w:val="00F1389C"/>
    <w:rsid w:val="00F1444B"/>
    <w:rsid w:val="00F2090C"/>
    <w:rsid w:val="00F219EA"/>
    <w:rsid w:val="00F21C4F"/>
    <w:rsid w:val="00F42A67"/>
    <w:rsid w:val="00F44E35"/>
    <w:rsid w:val="00F522E8"/>
    <w:rsid w:val="00F56EFE"/>
    <w:rsid w:val="00F56FA9"/>
    <w:rsid w:val="00F6529D"/>
    <w:rsid w:val="00F73808"/>
    <w:rsid w:val="00F74194"/>
    <w:rsid w:val="00F808BC"/>
    <w:rsid w:val="00F9351B"/>
    <w:rsid w:val="00FA005A"/>
    <w:rsid w:val="00FA1533"/>
    <w:rsid w:val="00FC17E1"/>
    <w:rsid w:val="00FC2871"/>
    <w:rsid w:val="00FD36CC"/>
    <w:rsid w:val="00FD64FE"/>
    <w:rsid w:val="00FE1855"/>
    <w:rsid w:val="00FF3081"/>
    <w:rsid w:val="00FF7581"/>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F95C9B9"/>
  <w15:docId w15:val="{5339822D-8C77-4B39-8EDF-E0A6CAE7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AC_Standard"/>
    <w:qFormat/>
    <w:rsid w:val="008308EB"/>
    <w:pPr>
      <w:adjustRightInd w:val="0"/>
      <w:spacing w:after="120" w:line="280" w:lineRule="exact"/>
      <w:ind w:right="-6"/>
    </w:pPr>
    <w:rPr>
      <w:rFonts w:ascii="Calibri" w:hAnsi="Calibri" w:cs="Arial"/>
    </w:rPr>
  </w:style>
  <w:style w:type="paragraph" w:styleId="berschrift1">
    <w:name w:val="heading 1"/>
    <w:aliases w:val="AC_Überschrift 1"/>
    <w:basedOn w:val="Standard"/>
    <w:next w:val="Standard"/>
    <w:link w:val="berschrift1Zchn"/>
    <w:uiPriority w:val="9"/>
    <w:qFormat/>
    <w:rsid w:val="00A861D4"/>
    <w:pPr>
      <w:keepNext/>
      <w:keepLines/>
      <w:spacing w:before="360"/>
      <w:outlineLvl w:val="0"/>
    </w:pPr>
    <w:rPr>
      <w:rFonts w:asciiTheme="majorHAnsi" w:eastAsiaTheme="majorEastAsia" w:hAnsiTheme="majorHAnsi" w:cstheme="majorBidi"/>
      <w:color w:val="7F7F7F" w:themeColor="text1" w:themeTint="80"/>
      <w:sz w:val="28"/>
      <w:szCs w:val="28"/>
      <w:lang w:val="en-GB"/>
    </w:rPr>
  </w:style>
  <w:style w:type="paragraph" w:styleId="berschrift2">
    <w:name w:val="heading 2"/>
    <w:aliases w:val="AC_Überschrift 2"/>
    <w:basedOn w:val="Standard"/>
    <w:next w:val="Standard"/>
    <w:link w:val="berschrift2Zchn"/>
    <w:uiPriority w:val="9"/>
    <w:unhideWhenUsed/>
    <w:qFormat/>
    <w:rsid w:val="00B35DEC"/>
    <w:pPr>
      <w:keepNext/>
      <w:keepLines/>
      <w:spacing w:before="40" w:after="0"/>
      <w:outlineLvl w:val="1"/>
    </w:pPr>
    <w:rPr>
      <w:rFonts w:asciiTheme="majorHAnsi" w:eastAsiaTheme="majorEastAsia" w:hAnsiTheme="majorHAnsi" w:cstheme="majorBidi"/>
      <w:smallCaps/>
      <w:color w:val="7F7F7F" w:themeColor="text1" w:themeTint="80"/>
      <w:sz w:val="26"/>
      <w:szCs w:val="26"/>
    </w:rPr>
  </w:style>
  <w:style w:type="paragraph" w:styleId="berschrift3">
    <w:name w:val="heading 3"/>
    <w:basedOn w:val="Standard"/>
    <w:next w:val="Standard"/>
    <w:link w:val="berschrift3Zchn"/>
    <w:uiPriority w:val="9"/>
    <w:unhideWhenUsed/>
    <w:qFormat/>
    <w:rsid w:val="0077364C"/>
    <w:pPr>
      <w:keepNext/>
      <w:keepLines/>
      <w:spacing w:before="40" w:after="0"/>
      <w:outlineLvl w:val="2"/>
    </w:pPr>
    <w:rPr>
      <w:rFonts w:asciiTheme="majorHAnsi" w:eastAsiaTheme="majorEastAsia" w:hAnsiTheme="majorHAnsi" w:cstheme="majorBidi"/>
      <w:color w:val="0070C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style>
  <w:style w:type="paragraph" w:customStyle="1" w:styleId="ACUntertitel">
    <w:name w:val="AC_Untertitel"/>
    <w:basedOn w:val="ACBetreff"/>
    <w:qFormat/>
    <w:rsid w:val="00BC22DC"/>
    <w:pPr>
      <w:spacing w:after="0"/>
    </w:pPr>
    <w:rPr>
      <w:b w:val="0"/>
      <w:smallCaps/>
      <w:color w:val="7F7F7F" w:themeColor="text1" w:themeTint="80"/>
    </w:rPr>
  </w:style>
  <w:style w:type="paragraph" w:styleId="Kopfzeile">
    <w:name w:val="header"/>
    <w:aliases w:val="AC_Kopfzeile"/>
    <w:link w:val="KopfzeileZchn"/>
    <w:uiPriority w:val="99"/>
    <w:unhideWhenUsed/>
    <w:qFormat/>
    <w:rsid w:val="00FD64FE"/>
    <w:pPr>
      <w:tabs>
        <w:tab w:val="center" w:pos="4536"/>
        <w:tab w:val="right" w:pos="9072"/>
      </w:tabs>
      <w:ind w:right="-6"/>
    </w:pPr>
    <w:rPr>
      <w:rFonts w:ascii="Calibri" w:hAnsi="Calibri" w:cs="Arial"/>
      <w:color w:val="00AADC"/>
      <w:sz w:val="16"/>
    </w:rPr>
  </w:style>
  <w:style w:type="character" w:customStyle="1" w:styleId="KopfzeileZchn">
    <w:name w:val="Kopfzeile Zchn"/>
    <w:aliases w:val="AC_Kopfzeile Zchn"/>
    <w:basedOn w:val="Absatz-Standardschriftart"/>
    <w:link w:val="Kopfzeile"/>
    <w:uiPriority w:val="99"/>
    <w:rsid w:val="00FD64FE"/>
    <w:rPr>
      <w:rFonts w:ascii="Calibri" w:hAnsi="Calibri" w:cs="Arial"/>
      <w:color w:val="00AADC"/>
      <w:sz w:val="16"/>
    </w:rPr>
  </w:style>
  <w:style w:type="paragraph" w:styleId="Fuzeile">
    <w:name w:val="footer"/>
    <w:link w:val="FuzeileZchn"/>
    <w:unhideWhenUsed/>
    <w:qFormat/>
    <w:rsid w:val="00FD64FE"/>
    <w:pPr>
      <w:tabs>
        <w:tab w:val="center" w:pos="4536"/>
        <w:tab w:val="right" w:pos="9072"/>
      </w:tabs>
      <w:spacing w:line="220" w:lineRule="exact"/>
      <w:ind w:right="-6"/>
    </w:pPr>
    <w:rPr>
      <w:rFonts w:ascii="Calibri" w:hAnsi="Calibri" w:cs="Arial"/>
      <w:color w:val="808080" w:themeColor="background1" w:themeShade="80"/>
    </w:rPr>
  </w:style>
  <w:style w:type="character" w:customStyle="1" w:styleId="FuzeileZchn">
    <w:name w:val="Fußzeile Zchn"/>
    <w:basedOn w:val="Absatz-Standardschriftart"/>
    <w:link w:val="Fuzeile"/>
    <w:rsid w:val="00FD64FE"/>
    <w:rPr>
      <w:rFonts w:ascii="Calibri" w:hAnsi="Calibri" w:cs="Arial"/>
      <w:color w:val="808080" w:themeColor="background1" w:themeShade="80"/>
    </w:rPr>
  </w:style>
  <w:style w:type="paragraph" w:styleId="Sprechblasentext">
    <w:name w:val="Balloon Text"/>
    <w:basedOn w:val="Standard"/>
    <w:link w:val="SprechblasentextZchn"/>
    <w:uiPriority w:val="99"/>
    <w:semiHidden/>
    <w:unhideWhenUsed/>
    <w:rsid w:val="00C83671"/>
    <w:rPr>
      <w:rFonts w:ascii="Lucida Grande" w:hAnsi="Lucida Grande" w:cs="Lucida Grande"/>
    </w:rPr>
  </w:style>
  <w:style w:type="character" w:customStyle="1" w:styleId="SprechblasentextZchn">
    <w:name w:val="Sprechblasentext Zchn"/>
    <w:basedOn w:val="Absatz-Standardschriftart"/>
    <w:link w:val="Sprechblasentext"/>
    <w:uiPriority w:val="99"/>
    <w:semiHidden/>
    <w:rsid w:val="00C83671"/>
    <w:rPr>
      <w:rFonts w:ascii="Lucida Grande" w:hAnsi="Lucida Grande" w:cs="Lucida Grande"/>
      <w:sz w:val="18"/>
      <w:szCs w:val="18"/>
    </w:rPr>
  </w:style>
  <w:style w:type="table" w:styleId="Tabellenraster">
    <w:name w:val="Table Grid"/>
    <w:basedOn w:val="NormaleTabelle"/>
    <w:uiPriority w:val="59"/>
    <w:rsid w:val="005A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eTabe11">
    <w:name w:val="Normale Tabe11"/>
    <w:rsid w:val="009304D9"/>
    <w:rPr>
      <w:rFonts w:ascii="Times New Roman" w:eastAsia="Times New Roman" w:hAnsi="Times New Roman" w:cs="Times New Roman"/>
      <w:lang w:eastAsia="de-DE" w:bidi="de-DE"/>
    </w:rPr>
    <w:tblPr>
      <w:tblCellMar>
        <w:top w:w="0" w:type="dxa"/>
        <w:left w:w="108" w:type="dxa"/>
        <w:bottom w:w="0" w:type="dxa"/>
        <w:right w:w="108" w:type="dxa"/>
      </w:tblCellMar>
    </w:tblPr>
  </w:style>
  <w:style w:type="character" w:styleId="Seitenzahl">
    <w:name w:val="page number"/>
    <w:basedOn w:val="Absatz-Standardschriftart"/>
    <w:uiPriority w:val="99"/>
    <w:semiHidden/>
    <w:unhideWhenUsed/>
    <w:rsid w:val="00F9351B"/>
  </w:style>
  <w:style w:type="paragraph" w:customStyle="1" w:styleId="ACDatum">
    <w:name w:val="AC_Datum"/>
    <w:basedOn w:val="Standard"/>
    <w:qFormat/>
    <w:rsid w:val="009F6013"/>
  </w:style>
  <w:style w:type="paragraph" w:customStyle="1" w:styleId="ACBetreff">
    <w:name w:val="AC_Betreff"/>
    <w:basedOn w:val="Standard"/>
    <w:qFormat/>
    <w:rsid w:val="004F6180"/>
    <w:pPr>
      <w:ind w:right="845"/>
      <w:jc w:val="both"/>
    </w:pPr>
    <w:rPr>
      <w:b/>
    </w:rPr>
  </w:style>
  <w:style w:type="paragraph" w:styleId="Dokumentstruktur">
    <w:name w:val="Document Map"/>
    <w:basedOn w:val="Standard"/>
    <w:link w:val="DokumentstrukturZchn"/>
    <w:uiPriority w:val="99"/>
    <w:semiHidden/>
    <w:unhideWhenUsed/>
    <w:rsid w:val="00E0172D"/>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E0172D"/>
    <w:rPr>
      <w:rFonts w:ascii="Times New Roman" w:hAnsi="Times New Roman" w:cs="Times New Roman"/>
      <w:sz w:val="24"/>
      <w:szCs w:val="24"/>
    </w:rPr>
  </w:style>
  <w:style w:type="paragraph" w:customStyle="1" w:styleId="ACAdresse">
    <w:name w:val="AC_Adresse"/>
    <w:qFormat/>
    <w:rsid w:val="004F6180"/>
    <w:rPr>
      <w:rFonts w:ascii="Calibri" w:hAnsi="Calibri" w:cs="Arial"/>
      <w:color w:val="000000" w:themeColor="text1"/>
      <w:lang w:val="en-US"/>
    </w:rPr>
  </w:style>
  <w:style w:type="character" w:styleId="Hyperlink">
    <w:name w:val="Hyperlink"/>
    <w:basedOn w:val="Absatz-Standardschriftart"/>
    <w:uiPriority w:val="99"/>
    <w:unhideWhenUsed/>
    <w:rsid w:val="000529F3"/>
    <w:rPr>
      <w:color w:val="0000FF" w:themeColor="hyperlink"/>
      <w:u w:val="single"/>
    </w:rPr>
  </w:style>
  <w:style w:type="paragraph" w:customStyle="1" w:styleId="ACKopfzeileAbsender">
    <w:name w:val="AC_Kopfzeile_Absender"/>
    <w:basedOn w:val="Kopfzeile"/>
    <w:link w:val="ACKopfzeileAbsenderZchn"/>
    <w:qFormat/>
    <w:rsid w:val="00012682"/>
    <w:rPr>
      <w:color w:val="808080" w:themeColor="background1" w:themeShade="80"/>
      <w:lang w:val="de-CH"/>
    </w:rPr>
  </w:style>
  <w:style w:type="paragraph" w:customStyle="1" w:styleId="ACAdressblock">
    <w:name w:val="AC_Adressblock"/>
    <w:basedOn w:val="ACKopfzeileAbsender"/>
    <w:link w:val="ACAdressblockZchn"/>
    <w:qFormat/>
    <w:rsid w:val="004F6180"/>
    <w:rPr>
      <w:color w:val="auto"/>
      <w:sz w:val="20"/>
    </w:rPr>
  </w:style>
  <w:style w:type="character" w:customStyle="1" w:styleId="berschrift1Zchn">
    <w:name w:val="Überschrift 1 Zchn"/>
    <w:aliases w:val="AC_Überschrift 1 Zchn"/>
    <w:basedOn w:val="Absatz-Standardschriftart"/>
    <w:link w:val="berschrift1"/>
    <w:uiPriority w:val="9"/>
    <w:rsid w:val="00A861D4"/>
    <w:rPr>
      <w:rFonts w:asciiTheme="majorHAnsi" w:eastAsiaTheme="majorEastAsia" w:hAnsiTheme="majorHAnsi" w:cstheme="majorBidi"/>
      <w:color w:val="7F7F7F" w:themeColor="text1" w:themeTint="80"/>
      <w:sz w:val="28"/>
      <w:szCs w:val="28"/>
      <w:lang w:val="en-GB"/>
    </w:rPr>
  </w:style>
  <w:style w:type="character" w:customStyle="1" w:styleId="ACKopfzeileAbsenderZchn">
    <w:name w:val="AC_Kopfzeile_Absender Zchn"/>
    <w:basedOn w:val="KopfzeileZchn"/>
    <w:link w:val="ACKopfzeileAbsender"/>
    <w:rsid w:val="004F6180"/>
    <w:rPr>
      <w:rFonts w:ascii="Calibri" w:hAnsi="Calibri" w:cs="Arial"/>
      <w:color w:val="808080" w:themeColor="background1" w:themeShade="80"/>
      <w:sz w:val="16"/>
      <w:lang w:val="de-CH"/>
    </w:rPr>
  </w:style>
  <w:style w:type="character" w:customStyle="1" w:styleId="ACAdressblockZchn">
    <w:name w:val="AC_Adressblock Zchn"/>
    <w:basedOn w:val="ACKopfzeileAbsenderZchn"/>
    <w:link w:val="ACAdressblock"/>
    <w:rsid w:val="004F6180"/>
    <w:rPr>
      <w:rFonts w:ascii="Calibri" w:hAnsi="Calibri" w:cs="Arial"/>
      <w:color w:val="808080" w:themeColor="background1" w:themeShade="80"/>
      <w:sz w:val="16"/>
      <w:lang w:val="de-CH"/>
    </w:rPr>
  </w:style>
  <w:style w:type="character" w:customStyle="1" w:styleId="berschrift2Zchn">
    <w:name w:val="Überschrift 2 Zchn"/>
    <w:aliases w:val="AC_Überschrift 2 Zchn"/>
    <w:basedOn w:val="Absatz-Standardschriftart"/>
    <w:link w:val="berschrift2"/>
    <w:uiPriority w:val="9"/>
    <w:rsid w:val="00B35DEC"/>
    <w:rPr>
      <w:rFonts w:asciiTheme="majorHAnsi" w:eastAsiaTheme="majorEastAsia" w:hAnsiTheme="majorHAnsi" w:cstheme="majorBidi"/>
      <w:smallCaps/>
      <w:color w:val="7F7F7F" w:themeColor="text1" w:themeTint="80"/>
      <w:sz w:val="26"/>
      <w:szCs w:val="26"/>
    </w:rPr>
  </w:style>
  <w:style w:type="paragraph" w:styleId="Titel">
    <w:name w:val="Title"/>
    <w:aliases w:val="AC_Titel"/>
    <w:basedOn w:val="Standard"/>
    <w:next w:val="Standard"/>
    <w:link w:val="TitelZchn"/>
    <w:uiPriority w:val="10"/>
    <w:qFormat/>
    <w:rsid w:val="00B35DEC"/>
    <w:pPr>
      <w:spacing w:after="0" w:line="240" w:lineRule="auto"/>
      <w:contextualSpacing/>
    </w:pPr>
    <w:rPr>
      <w:rFonts w:asciiTheme="majorHAnsi" w:eastAsiaTheme="majorEastAsia" w:hAnsiTheme="majorHAnsi" w:cstheme="majorBidi"/>
      <w:color w:val="00AADC"/>
      <w:spacing w:val="-10"/>
      <w:kern w:val="28"/>
      <w:sz w:val="56"/>
      <w:szCs w:val="56"/>
    </w:rPr>
  </w:style>
  <w:style w:type="character" w:customStyle="1" w:styleId="TitelZchn">
    <w:name w:val="Titel Zchn"/>
    <w:aliases w:val="AC_Titel Zchn"/>
    <w:basedOn w:val="Absatz-Standardschriftart"/>
    <w:link w:val="Titel"/>
    <w:uiPriority w:val="10"/>
    <w:rsid w:val="00B35DEC"/>
    <w:rPr>
      <w:rFonts w:asciiTheme="majorHAnsi" w:eastAsiaTheme="majorEastAsia" w:hAnsiTheme="majorHAnsi" w:cstheme="majorBidi"/>
      <w:color w:val="00AADC"/>
      <w:spacing w:val="-10"/>
      <w:kern w:val="28"/>
      <w:sz w:val="56"/>
      <w:szCs w:val="56"/>
    </w:rPr>
  </w:style>
  <w:style w:type="paragraph" w:styleId="Untertitel">
    <w:name w:val="Subtitle"/>
    <w:basedOn w:val="Standard"/>
    <w:next w:val="Standard"/>
    <w:link w:val="UntertitelZchn"/>
    <w:uiPriority w:val="11"/>
    <w:qFormat/>
    <w:rsid w:val="00B35DEC"/>
    <w:pPr>
      <w:numPr>
        <w:ilvl w:val="1"/>
      </w:numPr>
      <w:spacing w:after="160"/>
    </w:pPr>
    <w:rPr>
      <w:rFonts w:asciiTheme="minorHAnsi"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B35DEC"/>
    <w:rPr>
      <w:color w:val="5A5A5A" w:themeColor="text1" w:themeTint="A5"/>
      <w:spacing w:val="15"/>
      <w:sz w:val="22"/>
      <w:szCs w:val="22"/>
    </w:rPr>
  </w:style>
  <w:style w:type="character" w:styleId="IntensiveHervorhebung">
    <w:name w:val="Intense Emphasis"/>
    <w:basedOn w:val="Absatz-Standardschriftart"/>
    <w:uiPriority w:val="21"/>
    <w:qFormat/>
    <w:rsid w:val="00B35DEC"/>
    <w:rPr>
      <w:i/>
      <w:iCs/>
      <w:color w:val="00AADC"/>
    </w:rPr>
  </w:style>
  <w:style w:type="paragraph" w:styleId="IntensivesZitat">
    <w:name w:val="Intense Quote"/>
    <w:basedOn w:val="Standard"/>
    <w:next w:val="Standard"/>
    <w:link w:val="IntensivesZitatZchn"/>
    <w:uiPriority w:val="30"/>
    <w:qFormat/>
    <w:rsid w:val="00B35DEC"/>
    <w:pPr>
      <w:pBdr>
        <w:top w:val="single" w:sz="4" w:space="10" w:color="4F81BD" w:themeColor="accent1"/>
        <w:bottom w:val="single" w:sz="4" w:space="10" w:color="4F81BD" w:themeColor="accent1"/>
      </w:pBdr>
      <w:spacing w:before="360" w:after="360"/>
      <w:ind w:left="864" w:right="864"/>
      <w:jc w:val="center"/>
    </w:pPr>
    <w:rPr>
      <w:i/>
      <w:iCs/>
      <w:color w:val="00AADC"/>
    </w:rPr>
  </w:style>
  <w:style w:type="character" w:customStyle="1" w:styleId="IntensivesZitatZchn">
    <w:name w:val="Intensives Zitat Zchn"/>
    <w:basedOn w:val="Absatz-Standardschriftart"/>
    <w:link w:val="IntensivesZitat"/>
    <w:uiPriority w:val="30"/>
    <w:rsid w:val="00B35DEC"/>
    <w:rPr>
      <w:rFonts w:ascii="Calibri" w:hAnsi="Calibri" w:cs="Arial"/>
      <w:i/>
      <w:iCs/>
      <w:color w:val="00AADC"/>
    </w:rPr>
  </w:style>
  <w:style w:type="character" w:styleId="IntensiverVerweis">
    <w:name w:val="Intense Reference"/>
    <w:basedOn w:val="Absatz-Standardschriftart"/>
    <w:uiPriority w:val="32"/>
    <w:qFormat/>
    <w:rsid w:val="00B35DEC"/>
    <w:rPr>
      <w:b/>
      <w:bCs/>
      <w:smallCaps/>
      <w:color w:val="00AADC"/>
      <w:spacing w:val="5"/>
    </w:rPr>
  </w:style>
  <w:style w:type="character" w:styleId="Platzhaltertext">
    <w:name w:val="Placeholder Text"/>
    <w:basedOn w:val="Absatz-Standardschriftart"/>
    <w:uiPriority w:val="99"/>
    <w:semiHidden/>
    <w:rsid w:val="00FA1533"/>
    <w:rPr>
      <w:color w:val="808080"/>
    </w:rPr>
  </w:style>
  <w:style w:type="character" w:customStyle="1" w:styleId="NichtaufgelsteErwhnung1">
    <w:name w:val="Nicht aufgelöste Erwähnung1"/>
    <w:basedOn w:val="Absatz-Standardschriftart"/>
    <w:uiPriority w:val="99"/>
    <w:rsid w:val="00920279"/>
    <w:rPr>
      <w:color w:val="605E5C"/>
      <w:shd w:val="clear" w:color="auto" w:fill="E1DFDD"/>
    </w:rPr>
  </w:style>
  <w:style w:type="character" w:customStyle="1" w:styleId="berschrift3Zchn">
    <w:name w:val="Überschrift 3 Zchn"/>
    <w:basedOn w:val="Absatz-Standardschriftart"/>
    <w:link w:val="berschrift3"/>
    <w:uiPriority w:val="9"/>
    <w:rsid w:val="0077364C"/>
    <w:rPr>
      <w:rFonts w:asciiTheme="majorHAnsi" w:eastAsiaTheme="majorEastAsia" w:hAnsiTheme="majorHAnsi" w:cstheme="majorBidi"/>
      <w:color w:val="0070C0"/>
      <w:lang w:val="en-GB"/>
    </w:rPr>
  </w:style>
  <w:style w:type="character" w:styleId="Kommentarzeichen">
    <w:name w:val="annotation reference"/>
    <w:basedOn w:val="Absatz-Standardschriftart"/>
    <w:uiPriority w:val="99"/>
    <w:semiHidden/>
    <w:unhideWhenUsed/>
    <w:rsid w:val="00FC17E1"/>
    <w:rPr>
      <w:sz w:val="18"/>
      <w:szCs w:val="18"/>
    </w:rPr>
  </w:style>
  <w:style w:type="paragraph" w:styleId="Kommentartext">
    <w:name w:val="annotation text"/>
    <w:basedOn w:val="Standard"/>
    <w:link w:val="KommentartextZchn"/>
    <w:uiPriority w:val="99"/>
    <w:semiHidden/>
    <w:unhideWhenUsed/>
    <w:rsid w:val="00FC17E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FC17E1"/>
    <w:rPr>
      <w:rFonts w:ascii="Calibri" w:hAnsi="Calibri" w:cs="Arial"/>
      <w:sz w:val="24"/>
      <w:szCs w:val="24"/>
    </w:rPr>
  </w:style>
  <w:style w:type="paragraph" w:styleId="Kommentarthema">
    <w:name w:val="annotation subject"/>
    <w:basedOn w:val="Kommentartext"/>
    <w:next w:val="Kommentartext"/>
    <w:link w:val="KommentarthemaZchn"/>
    <w:uiPriority w:val="99"/>
    <w:semiHidden/>
    <w:unhideWhenUsed/>
    <w:rsid w:val="00FC17E1"/>
    <w:rPr>
      <w:b/>
      <w:bCs/>
      <w:sz w:val="20"/>
      <w:szCs w:val="20"/>
    </w:rPr>
  </w:style>
  <w:style w:type="character" w:customStyle="1" w:styleId="KommentarthemaZchn">
    <w:name w:val="Kommentarthema Zchn"/>
    <w:basedOn w:val="KommentartextZchn"/>
    <w:link w:val="Kommentarthema"/>
    <w:uiPriority w:val="99"/>
    <w:semiHidden/>
    <w:rsid w:val="00FC17E1"/>
    <w:rPr>
      <w:rFonts w:ascii="Calibri" w:hAnsi="Calibri" w:cs="Arial"/>
      <w:b/>
      <w:bCs/>
      <w:sz w:val="24"/>
      <w:szCs w:val="24"/>
    </w:rPr>
  </w:style>
  <w:style w:type="paragraph" w:styleId="Listenabsatz">
    <w:name w:val="List Paragraph"/>
    <w:basedOn w:val="Standard"/>
    <w:uiPriority w:val="34"/>
    <w:qFormat/>
    <w:rsid w:val="00203D59"/>
    <w:pPr>
      <w:numPr>
        <w:numId w:val="1"/>
      </w:numPr>
      <w:spacing w:line="276" w:lineRule="auto"/>
      <w:contextualSpacing/>
      <w:jc w:val="both"/>
    </w:pPr>
    <w:rPr>
      <w:rFonts w:cs="Calibri"/>
      <w:szCs w:val="16"/>
    </w:rPr>
  </w:style>
  <w:style w:type="character" w:styleId="Fett">
    <w:name w:val="Strong"/>
    <w:basedOn w:val="Absatz-Standardschriftart"/>
    <w:uiPriority w:val="22"/>
    <w:qFormat/>
    <w:rsid w:val="000537C3"/>
    <w:rPr>
      <w:b/>
      <w:bCs/>
    </w:rPr>
  </w:style>
  <w:style w:type="table" w:customStyle="1" w:styleId="TableGrid1">
    <w:name w:val="Table Grid1"/>
    <w:basedOn w:val="NormaleTabelle"/>
    <w:uiPriority w:val="59"/>
    <w:rsid w:val="004B5366"/>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B5366"/>
    <w:pPr>
      <w:adjustRightInd/>
      <w:spacing w:before="100" w:beforeAutospacing="1" w:after="100" w:afterAutospacing="1" w:line="240" w:lineRule="auto"/>
      <w:ind w:right="0"/>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515">
      <w:bodyDiv w:val="1"/>
      <w:marLeft w:val="0"/>
      <w:marRight w:val="0"/>
      <w:marTop w:val="0"/>
      <w:marBottom w:val="0"/>
      <w:divBdr>
        <w:top w:val="none" w:sz="0" w:space="0" w:color="auto"/>
        <w:left w:val="none" w:sz="0" w:space="0" w:color="auto"/>
        <w:bottom w:val="none" w:sz="0" w:space="0" w:color="auto"/>
        <w:right w:val="none" w:sz="0" w:space="0" w:color="auto"/>
      </w:divBdr>
    </w:div>
    <w:div w:id="7027938">
      <w:bodyDiv w:val="1"/>
      <w:marLeft w:val="0"/>
      <w:marRight w:val="0"/>
      <w:marTop w:val="0"/>
      <w:marBottom w:val="0"/>
      <w:divBdr>
        <w:top w:val="none" w:sz="0" w:space="0" w:color="auto"/>
        <w:left w:val="none" w:sz="0" w:space="0" w:color="auto"/>
        <w:bottom w:val="none" w:sz="0" w:space="0" w:color="auto"/>
        <w:right w:val="none" w:sz="0" w:space="0" w:color="auto"/>
      </w:divBdr>
    </w:div>
    <w:div w:id="84157286">
      <w:bodyDiv w:val="1"/>
      <w:marLeft w:val="0"/>
      <w:marRight w:val="0"/>
      <w:marTop w:val="0"/>
      <w:marBottom w:val="0"/>
      <w:divBdr>
        <w:top w:val="none" w:sz="0" w:space="0" w:color="auto"/>
        <w:left w:val="none" w:sz="0" w:space="0" w:color="auto"/>
        <w:bottom w:val="none" w:sz="0" w:space="0" w:color="auto"/>
        <w:right w:val="none" w:sz="0" w:space="0" w:color="auto"/>
      </w:divBdr>
    </w:div>
    <w:div w:id="111024474">
      <w:bodyDiv w:val="1"/>
      <w:marLeft w:val="0"/>
      <w:marRight w:val="0"/>
      <w:marTop w:val="0"/>
      <w:marBottom w:val="0"/>
      <w:divBdr>
        <w:top w:val="none" w:sz="0" w:space="0" w:color="auto"/>
        <w:left w:val="none" w:sz="0" w:space="0" w:color="auto"/>
        <w:bottom w:val="none" w:sz="0" w:space="0" w:color="auto"/>
        <w:right w:val="none" w:sz="0" w:space="0" w:color="auto"/>
      </w:divBdr>
    </w:div>
    <w:div w:id="240217768">
      <w:bodyDiv w:val="1"/>
      <w:marLeft w:val="0"/>
      <w:marRight w:val="0"/>
      <w:marTop w:val="0"/>
      <w:marBottom w:val="0"/>
      <w:divBdr>
        <w:top w:val="none" w:sz="0" w:space="0" w:color="auto"/>
        <w:left w:val="none" w:sz="0" w:space="0" w:color="auto"/>
        <w:bottom w:val="none" w:sz="0" w:space="0" w:color="auto"/>
        <w:right w:val="none" w:sz="0" w:space="0" w:color="auto"/>
      </w:divBdr>
    </w:div>
    <w:div w:id="373700342">
      <w:bodyDiv w:val="1"/>
      <w:marLeft w:val="0"/>
      <w:marRight w:val="0"/>
      <w:marTop w:val="0"/>
      <w:marBottom w:val="0"/>
      <w:divBdr>
        <w:top w:val="none" w:sz="0" w:space="0" w:color="auto"/>
        <w:left w:val="none" w:sz="0" w:space="0" w:color="auto"/>
        <w:bottom w:val="none" w:sz="0" w:space="0" w:color="auto"/>
        <w:right w:val="none" w:sz="0" w:space="0" w:color="auto"/>
      </w:divBdr>
    </w:div>
    <w:div w:id="487287951">
      <w:bodyDiv w:val="1"/>
      <w:marLeft w:val="0"/>
      <w:marRight w:val="0"/>
      <w:marTop w:val="0"/>
      <w:marBottom w:val="0"/>
      <w:divBdr>
        <w:top w:val="none" w:sz="0" w:space="0" w:color="auto"/>
        <w:left w:val="none" w:sz="0" w:space="0" w:color="auto"/>
        <w:bottom w:val="none" w:sz="0" w:space="0" w:color="auto"/>
        <w:right w:val="none" w:sz="0" w:space="0" w:color="auto"/>
      </w:divBdr>
    </w:div>
    <w:div w:id="490220017">
      <w:bodyDiv w:val="1"/>
      <w:marLeft w:val="0"/>
      <w:marRight w:val="0"/>
      <w:marTop w:val="0"/>
      <w:marBottom w:val="0"/>
      <w:divBdr>
        <w:top w:val="none" w:sz="0" w:space="0" w:color="auto"/>
        <w:left w:val="none" w:sz="0" w:space="0" w:color="auto"/>
        <w:bottom w:val="none" w:sz="0" w:space="0" w:color="auto"/>
        <w:right w:val="none" w:sz="0" w:space="0" w:color="auto"/>
      </w:divBdr>
    </w:div>
    <w:div w:id="495146886">
      <w:bodyDiv w:val="1"/>
      <w:marLeft w:val="0"/>
      <w:marRight w:val="0"/>
      <w:marTop w:val="0"/>
      <w:marBottom w:val="0"/>
      <w:divBdr>
        <w:top w:val="none" w:sz="0" w:space="0" w:color="auto"/>
        <w:left w:val="none" w:sz="0" w:space="0" w:color="auto"/>
        <w:bottom w:val="none" w:sz="0" w:space="0" w:color="auto"/>
        <w:right w:val="none" w:sz="0" w:space="0" w:color="auto"/>
      </w:divBdr>
    </w:div>
    <w:div w:id="502278117">
      <w:bodyDiv w:val="1"/>
      <w:marLeft w:val="0"/>
      <w:marRight w:val="0"/>
      <w:marTop w:val="0"/>
      <w:marBottom w:val="0"/>
      <w:divBdr>
        <w:top w:val="none" w:sz="0" w:space="0" w:color="auto"/>
        <w:left w:val="none" w:sz="0" w:space="0" w:color="auto"/>
        <w:bottom w:val="none" w:sz="0" w:space="0" w:color="auto"/>
        <w:right w:val="none" w:sz="0" w:space="0" w:color="auto"/>
      </w:divBdr>
    </w:div>
    <w:div w:id="541019046">
      <w:bodyDiv w:val="1"/>
      <w:marLeft w:val="0"/>
      <w:marRight w:val="0"/>
      <w:marTop w:val="0"/>
      <w:marBottom w:val="0"/>
      <w:divBdr>
        <w:top w:val="none" w:sz="0" w:space="0" w:color="auto"/>
        <w:left w:val="none" w:sz="0" w:space="0" w:color="auto"/>
        <w:bottom w:val="none" w:sz="0" w:space="0" w:color="auto"/>
        <w:right w:val="none" w:sz="0" w:space="0" w:color="auto"/>
      </w:divBdr>
    </w:div>
    <w:div w:id="593704685">
      <w:bodyDiv w:val="1"/>
      <w:marLeft w:val="0"/>
      <w:marRight w:val="0"/>
      <w:marTop w:val="0"/>
      <w:marBottom w:val="0"/>
      <w:divBdr>
        <w:top w:val="none" w:sz="0" w:space="0" w:color="auto"/>
        <w:left w:val="none" w:sz="0" w:space="0" w:color="auto"/>
        <w:bottom w:val="none" w:sz="0" w:space="0" w:color="auto"/>
        <w:right w:val="none" w:sz="0" w:space="0" w:color="auto"/>
      </w:divBdr>
    </w:div>
    <w:div w:id="840660974">
      <w:bodyDiv w:val="1"/>
      <w:marLeft w:val="0"/>
      <w:marRight w:val="0"/>
      <w:marTop w:val="0"/>
      <w:marBottom w:val="0"/>
      <w:divBdr>
        <w:top w:val="none" w:sz="0" w:space="0" w:color="auto"/>
        <w:left w:val="none" w:sz="0" w:space="0" w:color="auto"/>
        <w:bottom w:val="none" w:sz="0" w:space="0" w:color="auto"/>
        <w:right w:val="none" w:sz="0" w:space="0" w:color="auto"/>
      </w:divBdr>
    </w:div>
    <w:div w:id="902830050">
      <w:bodyDiv w:val="1"/>
      <w:marLeft w:val="0"/>
      <w:marRight w:val="0"/>
      <w:marTop w:val="0"/>
      <w:marBottom w:val="0"/>
      <w:divBdr>
        <w:top w:val="none" w:sz="0" w:space="0" w:color="auto"/>
        <w:left w:val="none" w:sz="0" w:space="0" w:color="auto"/>
        <w:bottom w:val="none" w:sz="0" w:space="0" w:color="auto"/>
        <w:right w:val="none" w:sz="0" w:space="0" w:color="auto"/>
      </w:divBdr>
    </w:div>
    <w:div w:id="1054113093">
      <w:bodyDiv w:val="1"/>
      <w:marLeft w:val="0"/>
      <w:marRight w:val="0"/>
      <w:marTop w:val="0"/>
      <w:marBottom w:val="0"/>
      <w:divBdr>
        <w:top w:val="none" w:sz="0" w:space="0" w:color="auto"/>
        <w:left w:val="none" w:sz="0" w:space="0" w:color="auto"/>
        <w:bottom w:val="none" w:sz="0" w:space="0" w:color="auto"/>
        <w:right w:val="none" w:sz="0" w:space="0" w:color="auto"/>
      </w:divBdr>
    </w:div>
    <w:div w:id="1070663293">
      <w:bodyDiv w:val="1"/>
      <w:marLeft w:val="0"/>
      <w:marRight w:val="0"/>
      <w:marTop w:val="0"/>
      <w:marBottom w:val="0"/>
      <w:divBdr>
        <w:top w:val="none" w:sz="0" w:space="0" w:color="auto"/>
        <w:left w:val="none" w:sz="0" w:space="0" w:color="auto"/>
        <w:bottom w:val="none" w:sz="0" w:space="0" w:color="auto"/>
        <w:right w:val="none" w:sz="0" w:space="0" w:color="auto"/>
      </w:divBdr>
    </w:div>
    <w:div w:id="1185971980">
      <w:bodyDiv w:val="1"/>
      <w:marLeft w:val="0"/>
      <w:marRight w:val="0"/>
      <w:marTop w:val="0"/>
      <w:marBottom w:val="0"/>
      <w:divBdr>
        <w:top w:val="none" w:sz="0" w:space="0" w:color="auto"/>
        <w:left w:val="none" w:sz="0" w:space="0" w:color="auto"/>
        <w:bottom w:val="none" w:sz="0" w:space="0" w:color="auto"/>
        <w:right w:val="none" w:sz="0" w:space="0" w:color="auto"/>
      </w:divBdr>
    </w:div>
    <w:div w:id="1303779067">
      <w:bodyDiv w:val="1"/>
      <w:marLeft w:val="0"/>
      <w:marRight w:val="0"/>
      <w:marTop w:val="0"/>
      <w:marBottom w:val="0"/>
      <w:divBdr>
        <w:top w:val="none" w:sz="0" w:space="0" w:color="auto"/>
        <w:left w:val="none" w:sz="0" w:space="0" w:color="auto"/>
        <w:bottom w:val="none" w:sz="0" w:space="0" w:color="auto"/>
        <w:right w:val="none" w:sz="0" w:space="0" w:color="auto"/>
      </w:divBdr>
    </w:div>
    <w:div w:id="1317145426">
      <w:bodyDiv w:val="1"/>
      <w:marLeft w:val="0"/>
      <w:marRight w:val="0"/>
      <w:marTop w:val="0"/>
      <w:marBottom w:val="0"/>
      <w:divBdr>
        <w:top w:val="none" w:sz="0" w:space="0" w:color="auto"/>
        <w:left w:val="none" w:sz="0" w:space="0" w:color="auto"/>
        <w:bottom w:val="none" w:sz="0" w:space="0" w:color="auto"/>
        <w:right w:val="none" w:sz="0" w:space="0" w:color="auto"/>
      </w:divBdr>
    </w:div>
    <w:div w:id="1376344495">
      <w:bodyDiv w:val="1"/>
      <w:marLeft w:val="0"/>
      <w:marRight w:val="0"/>
      <w:marTop w:val="0"/>
      <w:marBottom w:val="0"/>
      <w:divBdr>
        <w:top w:val="none" w:sz="0" w:space="0" w:color="auto"/>
        <w:left w:val="none" w:sz="0" w:space="0" w:color="auto"/>
        <w:bottom w:val="none" w:sz="0" w:space="0" w:color="auto"/>
        <w:right w:val="none" w:sz="0" w:space="0" w:color="auto"/>
      </w:divBdr>
    </w:div>
    <w:div w:id="1394352722">
      <w:bodyDiv w:val="1"/>
      <w:marLeft w:val="0"/>
      <w:marRight w:val="0"/>
      <w:marTop w:val="0"/>
      <w:marBottom w:val="0"/>
      <w:divBdr>
        <w:top w:val="none" w:sz="0" w:space="0" w:color="auto"/>
        <w:left w:val="none" w:sz="0" w:space="0" w:color="auto"/>
        <w:bottom w:val="none" w:sz="0" w:space="0" w:color="auto"/>
        <w:right w:val="none" w:sz="0" w:space="0" w:color="auto"/>
      </w:divBdr>
    </w:div>
    <w:div w:id="1401126315">
      <w:bodyDiv w:val="1"/>
      <w:marLeft w:val="0"/>
      <w:marRight w:val="0"/>
      <w:marTop w:val="0"/>
      <w:marBottom w:val="0"/>
      <w:divBdr>
        <w:top w:val="none" w:sz="0" w:space="0" w:color="auto"/>
        <w:left w:val="none" w:sz="0" w:space="0" w:color="auto"/>
        <w:bottom w:val="none" w:sz="0" w:space="0" w:color="auto"/>
        <w:right w:val="none" w:sz="0" w:space="0" w:color="auto"/>
      </w:divBdr>
    </w:div>
    <w:div w:id="1514025871">
      <w:bodyDiv w:val="1"/>
      <w:marLeft w:val="0"/>
      <w:marRight w:val="0"/>
      <w:marTop w:val="0"/>
      <w:marBottom w:val="0"/>
      <w:divBdr>
        <w:top w:val="none" w:sz="0" w:space="0" w:color="auto"/>
        <w:left w:val="none" w:sz="0" w:space="0" w:color="auto"/>
        <w:bottom w:val="none" w:sz="0" w:space="0" w:color="auto"/>
        <w:right w:val="none" w:sz="0" w:space="0" w:color="auto"/>
      </w:divBdr>
    </w:div>
    <w:div w:id="1540513829">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63582649">
      <w:bodyDiv w:val="1"/>
      <w:marLeft w:val="0"/>
      <w:marRight w:val="0"/>
      <w:marTop w:val="0"/>
      <w:marBottom w:val="0"/>
      <w:divBdr>
        <w:top w:val="none" w:sz="0" w:space="0" w:color="auto"/>
        <w:left w:val="none" w:sz="0" w:space="0" w:color="auto"/>
        <w:bottom w:val="none" w:sz="0" w:space="0" w:color="auto"/>
        <w:right w:val="none" w:sz="0" w:space="0" w:color="auto"/>
      </w:divBdr>
    </w:div>
    <w:div w:id="1663699327">
      <w:bodyDiv w:val="1"/>
      <w:marLeft w:val="0"/>
      <w:marRight w:val="0"/>
      <w:marTop w:val="0"/>
      <w:marBottom w:val="0"/>
      <w:divBdr>
        <w:top w:val="none" w:sz="0" w:space="0" w:color="auto"/>
        <w:left w:val="none" w:sz="0" w:space="0" w:color="auto"/>
        <w:bottom w:val="none" w:sz="0" w:space="0" w:color="auto"/>
        <w:right w:val="none" w:sz="0" w:space="0" w:color="auto"/>
      </w:divBdr>
    </w:div>
    <w:div w:id="1825655622">
      <w:bodyDiv w:val="1"/>
      <w:marLeft w:val="0"/>
      <w:marRight w:val="0"/>
      <w:marTop w:val="0"/>
      <w:marBottom w:val="0"/>
      <w:divBdr>
        <w:top w:val="none" w:sz="0" w:space="0" w:color="auto"/>
        <w:left w:val="none" w:sz="0" w:space="0" w:color="auto"/>
        <w:bottom w:val="none" w:sz="0" w:space="0" w:color="auto"/>
        <w:right w:val="none" w:sz="0" w:space="0" w:color="auto"/>
      </w:divBdr>
    </w:div>
    <w:div w:id="1979070817">
      <w:bodyDiv w:val="1"/>
      <w:marLeft w:val="0"/>
      <w:marRight w:val="0"/>
      <w:marTop w:val="0"/>
      <w:marBottom w:val="0"/>
      <w:divBdr>
        <w:top w:val="none" w:sz="0" w:space="0" w:color="auto"/>
        <w:left w:val="none" w:sz="0" w:space="0" w:color="auto"/>
        <w:bottom w:val="none" w:sz="0" w:space="0" w:color="auto"/>
        <w:right w:val="none" w:sz="0" w:space="0" w:color="auto"/>
      </w:divBdr>
    </w:div>
    <w:div w:id="198358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B12C39-F52A-4CF3-9865-CBA0B0D1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25610</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GÜNTERKUSTER AG</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AstraCon GmbH</dc:creator>
  <cp:keywords/>
  <dc:description/>
  <cp:lastModifiedBy>Carmen Peeß</cp:lastModifiedBy>
  <cp:revision>39</cp:revision>
  <cp:lastPrinted>2020-05-11T08:54:00Z</cp:lastPrinted>
  <dcterms:created xsi:type="dcterms:W3CDTF">2020-05-08T12:05:00Z</dcterms:created>
  <dcterms:modified xsi:type="dcterms:W3CDTF">2022-01-12T13:34:00Z</dcterms:modified>
</cp:coreProperties>
</file>